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3AD" w:rsidRPr="006F70AD" w:rsidRDefault="00794F22" w:rsidP="00EC158F">
      <w:pPr>
        <w:pStyle w:val="Default"/>
        <w:spacing w:before="240" w:after="240"/>
        <w:jc w:val="right"/>
        <w:rPr>
          <w:sz w:val="22"/>
          <w:szCs w:val="22"/>
        </w:rPr>
      </w:pPr>
      <w:bookmarkStart w:id="0" w:name="_GoBack"/>
      <w:bookmarkEnd w:id="0"/>
      <w:r>
        <w:rPr>
          <w:noProof/>
          <w:sz w:val="20"/>
          <w:lang w:eastAsia="en-GB"/>
        </w:rPr>
        <w:drawing>
          <wp:inline distT="0" distB="0" distL="0" distR="0" wp14:anchorId="1CB1D2AE" wp14:editId="6CEC187A">
            <wp:extent cx="4362450" cy="542925"/>
            <wp:effectExtent l="0" t="0" r="0" b="9525"/>
            <wp:docPr id="1" name="Picture 1" descr="foundation logo 05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undation logo 05 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2450" cy="542925"/>
                    </a:xfrm>
                    <a:prstGeom prst="rect">
                      <a:avLst/>
                    </a:prstGeom>
                    <a:noFill/>
                    <a:ln>
                      <a:noFill/>
                    </a:ln>
                  </pic:spPr>
                </pic:pic>
              </a:graphicData>
            </a:graphic>
          </wp:inline>
        </w:drawing>
      </w:r>
    </w:p>
    <w:p w:rsidR="00203CEC" w:rsidRDefault="00794F22" w:rsidP="00EC158F">
      <w:pPr>
        <w:pStyle w:val="Pa1"/>
        <w:spacing w:before="240" w:after="240"/>
        <w:jc w:val="center"/>
        <w:rPr>
          <w:b/>
          <w:sz w:val="22"/>
          <w:szCs w:val="22"/>
        </w:rPr>
      </w:pPr>
      <w:r>
        <w:rPr>
          <w:b/>
          <w:sz w:val="22"/>
          <w:szCs w:val="22"/>
        </w:rPr>
        <w:t>Privacy Notice</w:t>
      </w:r>
      <w:r w:rsidR="008373E1">
        <w:rPr>
          <w:b/>
          <w:sz w:val="22"/>
          <w:szCs w:val="22"/>
        </w:rPr>
        <w:t xml:space="preserve"> - Employment</w:t>
      </w:r>
      <w:r>
        <w:rPr>
          <w:b/>
          <w:sz w:val="22"/>
          <w:szCs w:val="22"/>
        </w:rPr>
        <w:t xml:space="preserve"> Records </w:t>
      </w:r>
    </w:p>
    <w:p w:rsidR="00794F22" w:rsidRDefault="00794F22" w:rsidP="00794F22">
      <w:pPr>
        <w:pStyle w:val="Default"/>
      </w:pPr>
      <w:r>
        <w:t>1.</w:t>
      </w:r>
      <w:r>
        <w:tab/>
      </w:r>
      <w:r w:rsidRPr="00EC158F">
        <w:rPr>
          <w:b/>
        </w:rPr>
        <w:t>What is a privacy notice?</w:t>
      </w:r>
    </w:p>
    <w:p w:rsidR="00794F22" w:rsidRPr="00EC158F" w:rsidRDefault="00794F22" w:rsidP="00794F22">
      <w:pPr>
        <w:pStyle w:val="Default"/>
        <w:rPr>
          <w:sz w:val="22"/>
          <w:szCs w:val="22"/>
        </w:rPr>
      </w:pPr>
    </w:p>
    <w:p w:rsidR="00794F22" w:rsidRDefault="00794F22" w:rsidP="00794F22">
      <w:pPr>
        <w:pStyle w:val="Default"/>
        <w:rPr>
          <w:sz w:val="22"/>
          <w:szCs w:val="22"/>
        </w:rPr>
      </w:pPr>
      <w:r w:rsidRPr="00EC158F">
        <w:rPr>
          <w:sz w:val="22"/>
          <w:szCs w:val="22"/>
        </w:rPr>
        <w:t xml:space="preserve">A Privacy Notice is a statement by the Trust to staff that describes how we collect, use, retain and disclose personal information which we hold. It is sometimes also referred to as a Privacy Statement, Fair Processing Statement or Privacy Policy. </w:t>
      </w:r>
    </w:p>
    <w:p w:rsidR="00006131" w:rsidRDefault="00006131" w:rsidP="00794F22">
      <w:pPr>
        <w:pStyle w:val="Default"/>
        <w:rPr>
          <w:sz w:val="22"/>
          <w:szCs w:val="22"/>
        </w:rPr>
      </w:pPr>
    </w:p>
    <w:p w:rsidR="00F6017B" w:rsidRPr="00EC158F" w:rsidRDefault="00006131" w:rsidP="00794F22">
      <w:pPr>
        <w:pStyle w:val="Default"/>
        <w:rPr>
          <w:sz w:val="22"/>
          <w:szCs w:val="22"/>
        </w:rPr>
      </w:pPr>
      <w:r w:rsidRPr="00CC28A2">
        <w:rPr>
          <w:rStyle w:val="A1"/>
        </w:rPr>
        <w:t>This Privacy Notice includes applicants, employees (and former employees), workers (including agency, casual and contracted staff), volunteers, trainees and those carrying out work experience</w:t>
      </w:r>
      <w:r w:rsidR="00F6017B">
        <w:rPr>
          <w:rStyle w:val="A1"/>
        </w:rPr>
        <w:t xml:space="preserve">. </w:t>
      </w:r>
    </w:p>
    <w:p w:rsidR="00794F22" w:rsidRPr="00EC158F" w:rsidRDefault="00794F22" w:rsidP="00794F22">
      <w:pPr>
        <w:pStyle w:val="Default"/>
        <w:rPr>
          <w:sz w:val="22"/>
          <w:szCs w:val="22"/>
        </w:rPr>
      </w:pPr>
    </w:p>
    <w:p w:rsidR="00794F22" w:rsidRDefault="00794F22" w:rsidP="00794F22">
      <w:pPr>
        <w:pStyle w:val="Default"/>
        <w:rPr>
          <w:sz w:val="22"/>
          <w:szCs w:val="22"/>
        </w:rPr>
      </w:pPr>
      <w:r w:rsidRPr="00EC158F">
        <w:rPr>
          <w:sz w:val="22"/>
          <w:szCs w:val="22"/>
        </w:rPr>
        <w:t xml:space="preserve">This privacy notice is part of our commitment to ensure that we process </w:t>
      </w:r>
      <w:r>
        <w:rPr>
          <w:sz w:val="22"/>
          <w:szCs w:val="22"/>
        </w:rPr>
        <w:t xml:space="preserve">your </w:t>
      </w:r>
      <w:r w:rsidRPr="00EC158F">
        <w:rPr>
          <w:sz w:val="22"/>
          <w:szCs w:val="22"/>
        </w:rPr>
        <w:t>personal information/data fairly and lawfully.</w:t>
      </w:r>
    </w:p>
    <w:p w:rsidR="00F6017B" w:rsidRPr="00EC158F" w:rsidRDefault="00F6017B" w:rsidP="00794F22">
      <w:pPr>
        <w:pStyle w:val="Default"/>
        <w:rPr>
          <w:sz w:val="22"/>
          <w:szCs w:val="22"/>
        </w:rPr>
      </w:pPr>
    </w:p>
    <w:p w:rsidR="00794F22" w:rsidRDefault="00837635" w:rsidP="00794F22">
      <w:pPr>
        <w:pStyle w:val="Default"/>
        <w:rPr>
          <w:sz w:val="22"/>
          <w:szCs w:val="22"/>
        </w:rPr>
      </w:pPr>
      <w:r>
        <w:rPr>
          <w:sz w:val="22"/>
          <w:szCs w:val="22"/>
        </w:rPr>
        <w:t>S</w:t>
      </w:r>
      <w:r w:rsidR="00F6017B" w:rsidRPr="00F6017B">
        <w:rPr>
          <w:sz w:val="22"/>
          <w:szCs w:val="22"/>
        </w:rPr>
        <w:t>eparate Privacy Notice</w:t>
      </w:r>
      <w:r>
        <w:rPr>
          <w:sz w:val="22"/>
          <w:szCs w:val="22"/>
        </w:rPr>
        <w:t xml:space="preserve">s </w:t>
      </w:r>
      <w:r w:rsidR="00F6017B">
        <w:rPr>
          <w:sz w:val="22"/>
          <w:szCs w:val="22"/>
        </w:rPr>
        <w:t xml:space="preserve">for </w:t>
      </w:r>
      <w:r>
        <w:rPr>
          <w:sz w:val="22"/>
          <w:szCs w:val="22"/>
        </w:rPr>
        <w:t>corporate, patient and Occupational Health i</w:t>
      </w:r>
      <w:r w:rsidR="00F6017B">
        <w:rPr>
          <w:sz w:val="22"/>
          <w:szCs w:val="22"/>
        </w:rPr>
        <w:t>nformation</w:t>
      </w:r>
      <w:r>
        <w:rPr>
          <w:sz w:val="22"/>
          <w:szCs w:val="22"/>
        </w:rPr>
        <w:t xml:space="preserve"> are </w:t>
      </w:r>
      <w:r w:rsidRPr="00837635">
        <w:rPr>
          <w:sz w:val="22"/>
          <w:szCs w:val="22"/>
        </w:rPr>
        <w:t xml:space="preserve">published </w:t>
      </w:r>
      <w:r>
        <w:rPr>
          <w:sz w:val="22"/>
          <w:szCs w:val="22"/>
        </w:rPr>
        <w:t>on the Trust website</w:t>
      </w:r>
      <w:r w:rsidR="00F6017B">
        <w:rPr>
          <w:sz w:val="22"/>
          <w:szCs w:val="22"/>
        </w:rPr>
        <w:t xml:space="preserve">. </w:t>
      </w:r>
    </w:p>
    <w:p w:rsidR="00F6017B" w:rsidRPr="00EC158F" w:rsidRDefault="00F6017B" w:rsidP="00794F22">
      <w:pPr>
        <w:pStyle w:val="Default"/>
        <w:rPr>
          <w:sz w:val="22"/>
          <w:szCs w:val="22"/>
        </w:rPr>
      </w:pPr>
    </w:p>
    <w:p w:rsidR="00794F22" w:rsidRPr="00EC158F" w:rsidRDefault="00794F22" w:rsidP="00794F22">
      <w:pPr>
        <w:pStyle w:val="Default"/>
        <w:rPr>
          <w:sz w:val="22"/>
          <w:szCs w:val="22"/>
        </w:rPr>
      </w:pPr>
      <w:r w:rsidRPr="00EC158F">
        <w:rPr>
          <w:b/>
          <w:sz w:val="22"/>
          <w:szCs w:val="22"/>
        </w:rPr>
        <w:t>2.</w:t>
      </w:r>
      <w:r w:rsidRPr="00EC158F">
        <w:rPr>
          <w:sz w:val="22"/>
          <w:szCs w:val="22"/>
        </w:rPr>
        <w:tab/>
      </w:r>
      <w:r w:rsidRPr="00EC158F">
        <w:rPr>
          <w:b/>
          <w:sz w:val="22"/>
          <w:szCs w:val="22"/>
        </w:rPr>
        <w:t>Why issue a privacy notice?</w:t>
      </w:r>
      <w:r w:rsidRPr="00EC158F">
        <w:rPr>
          <w:sz w:val="22"/>
          <w:szCs w:val="22"/>
        </w:rPr>
        <w:t xml:space="preserve"> </w:t>
      </w:r>
    </w:p>
    <w:p w:rsidR="00794F22" w:rsidRDefault="00794F22" w:rsidP="00794F22">
      <w:pPr>
        <w:pStyle w:val="Default"/>
        <w:rPr>
          <w:sz w:val="22"/>
          <w:szCs w:val="22"/>
        </w:rPr>
      </w:pPr>
    </w:p>
    <w:p w:rsidR="00794F22" w:rsidRDefault="00794F22" w:rsidP="00794F22">
      <w:pPr>
        <w:pStyle w:val="Default"/>
        <w:rPr>
          <w:sz w:val="22"/>
          <w:szCs w:val="22"/>
        </w:rPr>
      </w:pPr>
      <w:r w:rsidRPr="00EC158F">
        <w:rPr>
          <w:sz w:val="22"/>
          <w:szCs w:val="22"/>
        </w:rPr>
        <w:t>Bradford Teaching Hospital</w:t>
      </w:r>
      <w:r w:rsidR="00DC09AB">
        <w:rPr>
          <w:sz w:val="22"/>
          <w:szCs w:val="22"/>
        </w:rPr>
        <w:t>s</w:t>
      </w:r>
      <w:r w:rsidRPr="00EC158F">
        <w:rPr>
          <w:sz w:val="22"/>
          <w:szCs w:val="22"/>
        </w:rPr>
        <w:t xml:space="preserve"> NHS Foundation Trust recognises the importance of protecting personal and confidential information in all that we do and takes care to meet its legal and regulatory duties. This notice is one of the ways in which we can demonstrate our commitment to our values and being transparent and open. </w:t>
      </w:r>
    </w:p>
    <w:p w:rsidR="00794F22" w:rsidRPr="00EC158F" w:rsidRDefault="00794F22" w:rsidP="00794F22">
      <w:pPr>
        <w:pStyle w:val="Default"/>
        <w:rPr>
          <w:sz w:val="22"/>
          <w:szCs w:val="22"/>
        </w:rPr>
      </w:pPr>
    </w:p>
    <w:p w:rsidR="00794F22" w:rsidRDefault="00794F22" w:rsidP="00794F22">
      <w:pPr>
        <w:pStyle w:val="Default"/>
        <w:rPr>
          <w:sz w:val="22"/>
          <w:szCs w:val="22"/>
        </w:rPr>
      </w:pPr>
      <w:r w:rsidRPr="00EC158F">
        <w:rPr>
          <w:sz w:val="22"/>
          <w:szCs w:val="22"/>
        </w:rPr>
        <w:t>This notice also explains what rights you have to control how we use your information.</w:t>
      </w:r>
    </w:p>
    <w:p w:rsidR="00794F22" w:rsidRPr="00EC158F" w:rsidRDefault="00794F22" w:rsidP="00794F22">
      <w:pPr>
        <w:pStyle w:val="Default"/>
        <w:rPr>
          <w:sz w:val="22"/>
          <w:szCs w:val="22"/>
        </w:rPr>
      </w:pPr>
    </w:p>
    <w:p w:rsidR="00794F22" w:rsidRPr="00EC158F" w:rsidRDefault="00794F22" w:rsidP="00794F22">
      <w:pPr>
        <w:pStyle w:val="Default"/>
        <w:rPr>
          <w:b/>
          <w:sz w:val="22"/>
          <w:szCs w:val="22"/>
        </w:rPr>
      </w:pPr>
      <w:r w:rsidRPr="00EC158F">
        <w:rPr>
          <w:b/>
          <w:sz w:val="22"/>
          <w:szCs w:val="22"/>
        </w:rPr>
        <w:t>3.</w:t>
      </w:r>
      <w:r w:rsidRPr="00EC158F">
        <w:rPr>
          <w:b/>
          <w:sz w:val="22"/>
          <w:szCs w:val="22"/>
        </w:rPr>
        <w:tab/>
        <w:t>Security of Information</w:t>
      </w:r>
    </w:p>
    <w:p w:rsidR="00794F22" w:rsidRPr="00EC158F" w:rsidRDefault="00794F22" w:rsidP="00794F22">
      <w:pPr>
        <w:pStyle w:val="Default"/>
        <w:rPr>
          <w:sz w:val="22"/>
          <w:szCs w:val="22"/>
        </w:rPr>
      </w:pPr>
    </w:p>
    <w:p w:rsidR="00794F22" w:rsidRDefault="00006131" w:rsidP="00794F22">
      <w:pPr>
        <w:pStyle w:val="Default"/>
        <w:rPr>
          <w:sz w:val="22"/>
          <w:szCs w:val="22"/>
        </w:rPr>
      </w:pPr>
      <w:r w:rsidRPr="00006131">
        <w:rPr>
          <w:sz w:val="22"/>
          <w:szCs w:val="22"/>
        </w:rPr>
        <w:t>During the course of its employment activities, Bradford Teaching Hospitals NHS Foundation Trust collects, stores and processes personal information about prospective, current and former staff</w:t>
      </w:r>
      <w:r>
        <w:rPr>
          <w:sz w:val="22"/>
          <w:szCs w:val="22"/>
        </w:rPr>
        <w:t xml:space="preserve"> in both electronic and paper formats</w:t>
      </w:r>
      <w:r w:rsidRPr="00006131">
        <w:rPr>
          <w:sz w:val="22"/>
          <w:szCs w:val="22"/>
        </w:rPr>
        <w:t>.</w:t>
      </w:r>
      <w:r w:rsidR="00F6017B">
        <w:rPr>
          <w:sz w:val="22"/>
          <w:szCs w:val="22"/>
        </w:rPr>
        <w:t xml:space="preserve"> </w:t>
      </w:r>
    </w:p>
    <w:p w:rsidR="00006131" w:rsidRDefault="00006131" w:rsidP="00794F22">
      <w:pPr>
        <w:pStyle w:val="Default"/>
        <w:rPr>
          <w:sz w:val="22"/>
          <w:szCs w:val="22"/>
        </w:rPr>
      </w:pPr>
    </w:p>
    <w:p w:rsidR="00006131" w:rsidRDefault="00006131" w:rsidP="00006131">
      <w:pPr>
        <w:pStyle w:val="Default"/>
        <w:rPr>
          <w:rStyle w:val="A1"/>
        </w:rPr>
      </w:pPr>
      <w:r w:rsidRPr="00CC28A2">
        <w:rPr>
          <w:rStyle w:val="A1"/>
        </w:rPr>
        <w:t xml:space="preserve">We recognise the need to treat staff personal </w:t>
      </w:r>
      <w:r>
        <w:rPr>
          <w:rStyle w:val="A1"/>
        </w:rPr>
        <w:t xml:space="preserve">and sensitive </w:t>
      </w:r>
      <w:r w:rsidRPr="00CC28A2">
        <w:rPr>
          <w:rStyle w:val="A1"/>
        </w:rPr>
        <w:t xml:space="preserve">data in a fair and lawful manner. No personal information held by </w:t>
      </w:r>
      <w:r>
        <w:rPr>
          <w:rStyle w:val="A1"/>
        </w:rPr>
        <w:t>the Trust</w:t>
      </w:r>
      <w:r w:rsidRPr="00CC28A2">
        <w:rPr>
          <w:rStyle w:val="A1"/>
        </w:rPr>
        <w:t xml:space="preserve"> will be processed unless the requirements for fair and lawful processing can be met.</w:t>
      </w:r>
    </w:p>
    <w:p w:rsidR="00006131" w:rsidRDefault="00006131" w:rsidP="00794F22">
      <w:pPr>
        <w:pStyle w:val="Default"/>
        <w:rPr>
          <w:sz w:val="22"/>
          <w:szCs w:val="22"/>
        </w:rPr>
      </w:pPr>
    </w:p>
    <w:p w:rsidR="00794F22" w:rsidRDefault="00794F22" w:rsidP="00794F22">
      <w:pPr>
        <w:pStyle w:val="Default"/>
        <w:rPr>
          <w:sz w:val="22"/>
          <w:szCs w:val="22"/>
        </w:rPr>
      </w:pPr>
      <w:r w:rsidRPr="00EC158F">
        <w:rPr>
          <w:sz w:val="22"/>
          <w:szCs w:val="22"/>
        </w:rPr>
        <w:t xml:space="preserve">This data is used by </w:t>
      </w:r>
      <w:r>
        <w:rPr>
          <w:sz w:val="22"/>
          <w:szCs w:val="22"/>
        </w:rPr>
        <w:t>limited staff</w:t>
      </w:r>
      <w:r w:rsidRPr="00EC158F">
        <w:rPr>
          <w:sz w:val="22"/>
          <w:szCs w:val="22"/>
        </w:rPr>
        <w:t xml:space="preserve"> in the course of their work</w:t>
      </w:r>
      <w:r w:rsidR="00006131">
        <w:rPr>
          <w:sz w:val="22"/>
          <w:szCs w:val="22"/>
        </w:rPr>
        <w:t xml:space="preserve"> for legitimate reasons</w:t>
      </w:r>
      <w:r w:rsidRPr="00EC158F">
        <w:rPr>
          <w:sz w:val="22"/>
          <w:szCs w:val="22"/>
        </w:rPr>
        <w:t xml:space="preserve"> and is not processed, transmitted or stored outside of the UK.  </w:t>
      </w:r>
    </w:p>
    <w:p w:rsidR="00794F22" w:rsidRPr="00EC158F" w:rsidRDefault="00794F22" w:rsidP="00794F22">
      <w:pPr>
        <w:pStyle w:val="Default"/>
        <w:rPr>
          <w:sz w:val="22"/>
          <w:szCs w:val="22"/>
        </w:rPr>
      </w:pPr>
    </w:p>
    <w:p w:rsidR="00794F22" w:rsidRDefault="00794F22" w:rsidP="00794F22">
      <w:pPr>
        <w:pStyle w:val="Default"/>
        <w:rPr>
          <w:sz w:val="22"/>
          <w:szCs w:val="22"/>
        </w:rPr>
      </w:pPr>
      <w:r w:rsidRPr="00EC158F">
        <w:rPr>
          <w:sz w:val="22"/>
          <w:szCs w:val="22"/>
        </w:rPr>
        <w:t xml:space="preserve">We take our duty to protect personal information and confidentiality very seriously.  We are committed to complying with all relevant legislation and to take all reasonable measures to ensure the confidentiality and security of </w:t>
      </w:r>
      <w:r>
        <w:rPr>
          <w:sz w:val="22"/>
          <w:szCs w:val="22"/>
        </w:rPr>
        <w:t xml:space="preserve">your </w:t>
      </w:r>
      <w:r w:rsidRPr="00EC158F">
        <w:rPr>
          <w:sz w:val="22"/>
          <w:szCs w:val="22"/>
        </w:rPr>
        <w:t>personal data for which we are responsible</w:t>
      </w:r>
      <w:r w:rsidR="00006131">
        <w:rPr>
          <w:sz w:val="22"/>
          <w:szCs w:val="22"/>
        </w:rPr>
        <w:t xml:space="preserve">. </w:t>
      </w:r>
    </w:p>
    <w:p w:rsidR="00006131" w:rsidRPr="00EC158F" w:rsidRDefault="00006131" w:rsidP="00794F22">
      <w:pPr>
        <w:pStyle w:val="Default"/>
        <w:rPr>
          <w:sz w:val="22"/>
          <w:szCs w:val="22"/>
        </w:rPr>
      </w:pPr>
    </w:p>
    <w:p w:rsidR="00006131" w:rsidRDefault="00794F22" w:rsidP="00794F22">
      <w:pPr>
        <w:pStyle w:val="Default"/>
        <w:rPr>
          <w:sz w:val="22"/>
          <w:szCs w:val="22"/>
        </w:rPr>
      </w:pPr>
      <w:r w:rsidRPr="00EC158F">
        <w:rPr>
          <w:sz w:val="22"/>
          <w:szCs w:val="22"/>
        </w:rPr>
        <w:t>At Trust Board level, we have appointed a Senior Information Risk Owner who is accountable for the management of all information assets i.e. computer systems and any</w:t>
      </w:r>
      <w:r>
        <w:rPr>
          <w:sz w:val="22"/>
          <w:szCs w:val="22"/>
        </w:rPr>
        <w:t xml:space="preserve"> associated risks and incidents</w:t>
      </w:r>
      <w:r w:rsidRPr="00EC158F">
        <w:rPr>
          <w:sz w:val="22"/>
          <w:szCs w:val="22"/>
        </w:rPr>
        <w:t xml:space="preserve">. </w:t>
      </w:r>
    </w:p>
    <w:p w:rsidR="00794F22" w:rsidRPr="00EC158F" w:rsidRDefault="00794F22" w:rsidP="00794F22">
      <w:pPr>
        <w:pStyle w:val="Default"/>
        <w:rPr>
          <w:sz w:val="22"/>
          <w:szCs w:val="22"/>
        </w:rPr>
      </w:pPr>
    </w:p>
    <w:p w:rsidR="00794F22" w:rsidRPr="00EC158F" w:rsidRDefault="00794F22" w:rsidP="00EC158F">
      <w:pPr>
        <w:pStyle w:val="Default"/>
        <w:rPr>
          <w:sz w:val="22"/>
          <w:szCs w:val="22"/>
        </w:rPr>
      </w:pPr>
      <w:r w:rsidRPr="00EC158F">
        <w:rPr>
          <w:sz w:val="22"/>
          <w:szCs w:val="22"/>
        </w:rPr>
        <w:t>The Trust also has a Data Protection Officer who assists the organisation by providing independent specialist advice on data protection obligations and impact assessments as well as the primary contact for data subjects</w:t>
      </w:r>
      <w:r>
        <w:rPr>
          <w:sz w:val="22"/>
          <w:szCs w:val="22"/>
        </w:rPr>
        <w:t xml:space="preserve"> which includes staff members</w:t>
      </w:r>
      <w:r w:rsidRPr="00EC158F">
        <w:rPr>
          <w:sz w:val="22"/>
          <w:szCs w:val="22"/>
        </w:rPr>
        <w:t xml:space="preserve">.   </w:t>
      </w:r>
    </w:p>
    <w:p w:rsidR="00CC28A2" w:rsidRDefault="00CC28A2" w:rsidP="00CC28A2">
      <w:pPr>
        <w:pStyle w:val="Default"/>
        <w:rPr>
          <w:sz w:val="20"/>
          <w:szCs w:val="20"/>
        </w:rPr>
      </w:pPr>
    </w:p>
    <w:p w:rsidR="00F6017B" w:rsidRDefault="00F6017B" w:rsidP="00CC28A2">
      <w:pPr>
        <w:pStyle w:val="Default"/>
        <w:rPr>
          <w:rStyle w:val="A1"/>
        </w:rPr>
      </w:pPr>
    </w:p>
    <w:p w:rsidR="00F6017B" w:rsidRDefault="00F6017B" w:rsidP="00CC28A2">
      <w:pPr>
        <w:pStyle w:val="Default"/>
        <w:rPr>
          <w:rStyle w:val="A1"/>
        </w:rPr>
      </w:pPr>
    </w:p>
    <w:p w:rsidR="00F6017B" w:rsidRDefault="00F6017B" w:rsidP="00CC28A2">
      <w:pPr>
        <w:pStyle w:val="Default"/>
        <w:rPr>
          <w:rStyle w:val="A1"/>
        </w:rPr>
      </w:pPr>
    </w:p>
    <w:p w:rsidR="00A22D86" w:rsidRPr="00CC28A2" w:rsidRDefault="00A22D86" w:rsidP="00CC28A2">
      <w:pPr>
        <w:pStyle w:val="Default"/>
        <w:rPr>
          <w:rStyle w:val="A1"/>
        </w:rPr>
      </w:pPr>
    </w:p>
    <w:p w:rsidR="00A22D86" w:rsidRPr="00A22D86" w:rsidRDefault="00F6017B" w:rsidP="00A22D86">
      <w:pPr>
        <w:shd w:val="clear" w:color="auto" w:fill="FFFFFF"/>
        <w:spacing w:after="150" w:line="240" w:lineRule="auto"/>
        <w:textAlignment w:val="baseline"/>
        <w:rPr>
          <w:rFonts w:ascii="Arial" w:eastAsia="Times New Roman" w:hAnsi="Arial" w:cs="Arial"/>
          <w:b/>
          <w:color w:val="000000"/>
          <w:lang w:eastAsia="en-GB"/>
        </w:rPr>
      </w:pPr>
      <w:r>
        <w:rPr>
          <w:rFonts w:ascii="Arial" w:eastAsia="Times New Roman" w:hAnsi="Arial" w:cs="Arial"/>
          <w:b/>
          <w:color w:val="000000"/>
          <w:lang w:eastAsia="en-GB"/>
        </w:rPr>
        <w:t>4</w:t>
      </w:r>
      <w:r w:rsidR="00A22D86" w:rsidRPr="00A22D86">
        <w:rPr>
          <w:rFonts w:ascii="Arial" w:eastAsia="Times New Roman" w:hAnsi="Arial" w:cs="Arial"/>
          <w:b/>
          <w:color w:val="000000"/>
          <w:lang w:eastAsia="en-GB"/>
        </w:rPr>
        <w:t>.</w:t>
      </w:r>
      <w:r w:rsidR="00A22D86" w:rsidRPr="00A22D86">
        <w:rPr>
          <w:rFonts w:ascii="Arial" w:eastAsia="Times New Roman" w:hAnsi="Arial" w:cs="Arial"/>
          <w:b/>
          <w:color w:val="000000"/>
          <w:lang w:eastAsia="en-GB"/>
        </w:rPr>
        <w:tab/>
      </w:r>
      <w:r w:rsidR="00DF07EE">
        <w:rPr>
          <w:rFonts w:ascii="Arial" w:eastAsia="Times New Roman" w:hAnsi="Arial" w:cs="Arial"/>
          <w:b/>
          <w:color w:val="000000"/>
          <w:lang w:eastAsia="en-GB"/>
        </w:rPr>
        <w:t>Legal basis for processing personal d</w:t>
      </w:r>
      <w:r w:rsidR="00A22D86" w:rsidRPr="00A22D86">
        <w:rPr>
          <w:rFonts w:ascii="Arial" w:eastAsia="Times New Roman" w:hAnsi="Arial" w:cs="Arial"/>
          <w:b/>
          <w:color w:val="000000"/>
          <w:lang w:eastAsia="en-GB"/>
        </w:rPr>
        <w:t xml:space="preserve">ata </w:t>
      </w:r>
    </w:p>
    <w:p w:rsidR="00A22D86" w:rsidRPr="00A22D86" w:rsidRDefault="00A22D86" w:rsidP="00A22D86">
      <w:pPr>
        <w:shd w:val="clear" w:color="auto" w:fill="FFFFFF"/>
        <w:spacing w:before="100" w:beforeAutospacing="1" w:after="150" w:afterAutospacing="1" w:line="240" w:lineRule="auto"/>
        <w:textAlignment w:val="baseline"/>
        <w:rPr>
          <w:rFonts w:ascii="Arial" w:eastAsia="Times New Roman" w:hAnsi="Arial" w:cs="Arial"/>
          <w:color w:val="000000"/>
          <w:lang w:eastAsia="en-GB"/>
        </w:rPr>
      </w:pPr>
      <w:r w:rsidRPr="00A22D86">
        <w:rPr>
          <w:rFonts w:ascii="Arial" w:eastAsia="Times New Roman" w:hAnsi="Arial" w:cs="Arial"/>
          <w:color w:val="000000"/>
          <w:lang w:eastAsia="en-GB"/>
        </w:rPr>
        <w:t>The Gene</w:t>
      </w:r>
      <w:r w:rsidR="00B02494">
        <w:rPr>
          <w:rFonts w:ascii="Arial" w:eastAsia="Times New Roman" w:hAnsi="Arial" w:cs="Arial"/>
          <w:color w:val="000000"/>
          <w:lang w:eastAsia="en-GB"/>
        </w:rPr>
        <w:t>ral Data Protection Regulation (</w:t>
      </w:r>
      <w:r w:rsidRPr="00A22D86">
        <w:rPr>
          <w:rFonts w:ascii="Arial" w:eastAsia="Times New Roman" w:hAnsi="Arial" w:cs="Arial"/>
          <w:color w:val="000000"/>
          <w:lang w:eastAsia="en-GB"/>
        </w:rPr>
        <w:t>2018</w:t>
      </w:r>
      <w:r w:rsidR="00B02494">
        <w:rPr>
          <w:rFonts w:ascii="Arial" w:eastAsia="Times New Roman" w:hAnsi="Arial" w:cs="Arial"/>
          <w:color w:val="000000"/>
          <w:lang w:eastAsia="en-GB"/>
        </w:rPr>
        <w:t>)</w:t>
      </w:r>
      <w:r w:rsidRPr="00A22D86">
        <w:rPr>
          <w:rFonts w:ascii="Arial" w:eastAsia="Times New Roman" w:hAnsi="Arial" w:cs="Arial"/>
          <w:color w:val="000000"/>
          <w:lang w:eastAsia="en-GB"/>
        </w:rPr>
        <w:t xml:space="preserve"> </w:t>
      </w:r>
      <w:r w:rsidR="00B02494">
        <w:rPr>
          <w:rFonts w:ascii="Arial" w:eastAsia="Times New Roman" w:hAnsi="Arial" w:cs="Arial"/>
          <w:color w:val="000000"/>
          <w:lang w:eastAsia="en-GB"/>
        </w:rPr>
        <w:t xml:space="preserve">and Data Protection Act (2018) </w:t>
      </w:r>
      <w:r w:rsidRPr="00A22D86">
        <w:rPr>
          <w:rFonts w:ascii="Arial" w:eastAsia="Times New Roman" w:hAnsi="Arial" w:cs="Arial"/>
          <w:color w:val="000000"/>
          <w:lang w:eastAsia="en-GB"/>
        </w:rPr>
        <w:t>requires the Trust to process:</w:t>
      </w:r>
    </w:p>
    <w:p w:rsidR="00794F22" w:rsidRDefault="00A22D86">
      <w:pPr>
        <w:pStyle w:val="Pa1"/>
        <w:spacing w:before="240" w:after="240"/>
        <w:jc w:val="both"/>
        <w:rPr>
          <w:rFonts w:eastAsia="Calibri"/>
          <w:color w:val="000000"/>
          <w:sz w:val="22"/>
          <w:szCs w:val="22"/>
        </w:rPr>
      </w:pPr>
      <w:r w:rsidRPr="00A22D86">
        <w:rPr>
          <w:rFonts w:eastAsia="Calibri"/>
          <w:color w:val="000000"/>
          <w:sz w:val="22"/>
          <w:szCs w:val="22"/>
        </w:rPr>
        <w:t>Personal data under 6(1)(e) “</w:t>
      </w:r>
      <w:r w:rsidRPr="00A22D86">
        <w:rPr>
          <w:rFonts w:eastAsia="Calibri"/>
          <w:i/>
          <w:color w:val="000000"/>
          <w:sz w:val="22"/>
          <w:szCs w:val="22"/>
        </w:rPr>
        <w:t>Necessary for the performance of a task carried out in the public interest or in the exercise of official authority vested in the Trust (Data Controller)”</w:t>
      </w:r>
      <w:r w:rsidRPr="00A22D86">
        <w:rPr>
          <w:rFonts w:eastAsia="Calibri"/>
          <w:color w:val="000000"/>
          <w:sz w:val="22"/>
          <w:szCs w:val="22"/>
        </w:rPr>
        <w:t xml:space="preserve"> </w:t>
      </w:r>
    </w:p>
    <w:p w:rsidR="00CC28A2" w:rsidRPr="00EC158F" w:rsidRDefault="00F6017B">
      <w:pPr>
        <w:pStyle w:val="Pa1"/>
        <w:spacing w:before="240" w:after="240"/>
        <w:jc w:val="both"/>
        <w:rPr>
          <w:rFonts w:eastAsia="Calibri"/>
          <w:color w:val="000000"/>
          <w:sz w:val="22"/>
          <w:szCs w:val="22"/>
        </w:rPr>
      </w:pPr>
      <w:r>
        <w:rPr>
          <w:rFonts w:eastAsia="Calibri"/>
          <w:b/>
          <w:color w:val="000000"/>
          <w:sz w:val="22"/>
          <w:szCs w:val="22"/>
        </w:rPr>
        <w:t>5</w:t>
      </w:r>
      <w:r w:rsidR="00794F22">
        <w:rPr>
          <w:rFonts w:eastAsia="Calibri"/>
          <w:color w:val="000000"/>
          <w:sz w:val="22"/>
          <w:szCs w:val="22"/>
        </w:rPr>
        <w:t>.</w:t>
      </w:r>
      <w:r w:rsidR="00794F22">
        <w:rPr>
          <w:rFonts w:eastAsia="Calibri"/>
          <w:color w:val="000000"/>
          <w:sz w:val="22"/>
          <w:szCs w:val="22"/>
        </w:rPr>
        <w:tab/>
      </w:r>
      <w:r w:rsidR="00CC28A2" w:rsidRPr="00CC28A2">
        <w:rPr>
          <w:b/>
          <w:sz w:val="22"/>
          <w:szCs w:val="22"/>
        </w:rPr>
        <w:t xml:space="preserve">What types of personal data do we </w:t>
      </w:r>
      <w:r w:rsidR="008373E1">
        <w:rPr>
          <w:b/>
          <w:sz w:val="22"/>
          <w:szCs w:val="22"/>
        </w:rPr>
        <w:t>process</w:t>
      </w:r>
      <w:r w:rsidR="00CC28A2" w:rsidRPr="00CC28A2">
        <w:rPr>
          <w:b/>
          <w:sz w:val="22"/>
          <w:szCs w:val="22"/>
        </w:rPr>
        <w:t xml:space="preserve">? </w:t>
      </w:r>
    </w:p>
    <w:p w:rsidR="00CC28A2" w:rsidRPr="00CC28A2" w:rsidRDefault="00CC28A2" w:rsidP="00CC28A2">
      <w:pPr>
        <w:pStyle w:val="Pa1"/>
        <w:spacing w:before="240" w:after="240"/>
        <w:jc w:val="both"/>
        <w:rPr>
          <w:sz w:val="22"/>
          <w:szCs w:val="22"/>
        </w:rPr>
      </w:pPr>
      <w:r w:rsidRPr="00CC28A2">
        <w:rPr>
          <w:sz w:val="22"/>
          <w:szCs w:val="22"/>
        </w:rPr>
        <w:t xml:space="preserve">In order to carry out our activities and obligations as an employer we handle data in relation to: </w:t>
      </w:r>
    </w:p>
    <w:p w:rsidR="00CC28A2" w:rsidRPr="00CC28A2" w:rsidRDefault="00CC28A2" w:rsidP="00EC158F">
      <w:pPr>
        <w:pStyle w:val="Pa1"/>
        <w:numPr>
          <w:ilvl w:val="0"/>
          <w:numId w:val="17"/>
        </w:numPr>
        <w:jc w:val="both"/>
        <w:rPr>
          <w:sz w:val="22"/>
          <w:szCs w:val="22"/>
        </w:rPr>
      </w:pPr>
      <w:r w:rsidRPr="00CC28A2">
        <w:rPr>
          <w:sz w:val="22"/>
          <w:szCs w:val="22"/>
        </w:rPr>
        <w:t>Personal demographics (including gender, race, ethnicity, sexual orientation, religion</w:t>
      </w:r>
      <w:r w:rsidR="008373E1">
        <w:rPr>
          <w:sz w:val="22"/>
          <w:szCs w:val="22"/>
        </w:rPr>
        <w:t xml:space="preserve"> and disa</w:t>
      </w:r>
      <w:r w:rsidR="00DC09AB">
        <w:rPr>
          <w:sz w:val="22"/>
          <w:szCs w:val="22"/>
        </w:rPr>
        <w:t>bility</w:t>
      </w:r>
      <w:r w:rsidRPr="00CC28A2">
        <w:rPr>
          <w:sz w:val="22"/>
          <w:szCs w:val="22"/>
        </w:rPr>
        <w:t>)</w:t>
      </w:r>
      <w:r w:rsidR="00837635">
        <w:rPr>
          <w:sz w:val="22"/>
          <w:szCs w:val="22"/>
        </w:rPr>
        <w:t>;</w:t>
      </w:r>
      <w:r w:rsidRPr="00CC28A2">
        <w:rPr>
          <w:sz w:val="22"/>
          <w:szCs w:val="22"/>
        </w:rPr>
        <w:t xml:space="preserve"> </w:t>
      </w:r>
    </w:p>
    <w:p w:rsidR="00CC28A2" w:rsidRPr="00CC28A2" w:rsidRDefault="00CC28A2" w:rsidP="00EC158F">
      <w:pPr>
        <w:pStyle w:val="Pa1"/>
        <w:numPr>
          <w:ilvl w:val="0"/>
          <w:numId w:val="17"/>
        </w:numPr>
        <w:jc w:val="both"/>
        <w:rPr>
          <w:sz w:val="22"/>
          <w:szCs w:val="22"/>
        </w:rPr>
      </w:pPr>
      <w:r w:rsidRPr="00CC28A2">
        <w:rPr>
          <w:sz w:val="22"/>
          <w:szCs w:val="22"/>
        </w:rPr>
        <w:t>Contact details such as names, addresses, telephone numbers and Emergency contact(s)</w:t>
      </w:r>
      <w:r w:rsidR="00837635">
        <w:rPr>
          <w:sz w:val="22"/>
          <w:szCs w:val="22"/>
        </w:rPr>
        <w:t>;</w:t>
      </w:r>
      <w:r w:rsidRPr="00CC28A2">
        <w:rPr>
          <w:sz w:val="22"/>
          <w:szCs w:val="22"/>
        </w:rPr>
        <w:t xml:space="preserve"> </w:t>
      </w:r>
    </w:p>
    <w:p w:rsidR="00CC28A2" w:rsidRPr="00CC28A2" w:rsidRDefault="00CC28A2" w:rsidP="00EC158F">
      <w:pPr>
        <w:pStyle w:val="Pa1"/>
        <w:numPr>
          <w:ilvl w:val="0"/>
          <w:numId w:val="17"/>
        </w:numPr>
        <w:jc w:val="both"/>
        <w:rPr>
          <w:sz w:val="22"/>
          <w:szCs w:val="22"/>
        </w:rPr>
      </w:pPr>
      <w:r w:rsidRPr="00CC28A2">
        <w:rPr>
          <w:sz w:val="22"/>
          <w:szCs w:val="22"/>
        </w:rPr>
        <w:t xml:space="preserve">Employment records (including professional membership, </w:t>
      </w:r>
      <w:r w:rsidR="00BF2FC7">
        <w:rPr>
          <w:sz w:val="22"/>
          <w:szCs w:val="22"/>
        </w:rPr>
        <w:t xml:space="preserve">qualifications, </w:t>
      </w:r>
      <w:r w:rsidRPr="00CC28A2">
        <w:rPr>
          <w:sz w:val="22"/>
          <w:szCs w:val="22"/>
        </w:rPr>
        <w:t xml:space="preserve">references and proof of </w:t>
      </w:r>
      <w:r w:rsidR="00BA327E">
        <w:rPr>
          <w:sz w:val="22"/>
          <w:szCs w:val="22"/>
        </w:rPr>
        <w:t xml:space="preserve">identity and </w:t>
      </w:r>
      <w:r w:rsidRPr="00CC28A2">
        <w:rPr>
          <w:sz w:val="22"/>
          <w:szCs w:val="22"/>
        </w:rPr>
        <w:t>eligibility to work in the UK)</w:t>
      </w:r>
      <w:r w:rsidR="00837635">
        <w:rPr>
          <w:sz w:val="22"/>
          <w:szCs w:val="22"/>
        </w:rPr>
        <w:t>;</w:t>
      </w:r>
      <w:r w:rsidRPr="00CC28A2">
        <w:rPr>
          <w:sz w:val="22"/>
          <w:szCs w:val="22"/>
        </w:rPr>
        <w:t xml:space="preserve"> </w:t>
      </w:r>
    </w:p>
    <w:p w:rsidR="00CC28A2" w:rsidRDefault="00CC28A2" w:rsidP="00EC158F">
      <w:pPr>
        <w:pStyle w:val="Pa1"/>
        <w:numPr>
          <w:ilvl w:val="0"/>
          <w:numId w:val="17"/>
        </w:numPr>
        <w:jc w:val="both"/>
        <w:rPr>
          <w:sz w:val="22"/>
          <w:szCs w:val="22"/>
        </w:rPr>
      </w:pPr>
      <w:r w:rsidRPr="00CC28A2">
        <w:rPr>
          <w:sz w:val="22"/>
          <w:szCs w:val="22"/>
        </w:rPr>
        <w:t>Bank details</w:t>
      </w:r>
      <w:r w:rsidR="00837635">
        <w:rPr>
          <w:sz w:val="22"/>
          <w:szCs w:val="22"/>
        </w:rPr>
        <w:t>;</w:t>
      </w:r>
      <w:r w:rsidRPr="00CC28A2">
        <w:rPr>
          <w:sz w:val="22"/>
          <w:szCs w:val="22"/>
        </w:rPr>
        <w:t xml:space="preserve"> </w:t>
      </w:r>
    </w:p>
    <w:p w:rsidR="00CC28A2" w:rsidRDefault="00CC28A2" w:rsidP="00EC158F">
      <w:pPr>
        <w:pStyle w:val="Pa1"/>
        <w:numPr>
          <w:ilvl w:val="0"/>
          <w:numId w:val="17"/>
        </w:numPr>
        <w:jc w:val="both"/>
        <w:rPr>
          <w:sz w:val="22"/>
          <w:szCs w:val="22"/>
        </w:rPr>
      </w:pPr>
      <w:r w:rsidRPr="00CC28A2">
        <w:rPr>
          <w:sz w:val="22"/>
          <w:szCs w:val="22"/>
        </w:rPr>
        <w:t>Pension details</w:t>
      </w:r>
      <w:r w:rsidR="00837635">
        <w:rPr>
          <w:sz w:val="22"/>
          <w:szCs w:val="22"/>
        </w:rPr>
        <w:t>;</w:t>
      </w:r>
      <w:r>
        <w:rPr>
          <w:sz w:val="22"/>
          <w:szCs w:val="22"/>
        </w:rPr>
        <w:t xml:space="preserve"> </w:t>
      </w:r>
    </w:p>
    <w:p w:rsidR="00CC28A2" w:rsidRPr="00CC28A2" w:rsidRDefault="00BF2FC7" w:rsidP="00EC158F">
      <w:pPr>
        <w:pStyle w:val="Pa1"/>
        <w:numPr>
          <w:ilvl w:val="0"/>
          <w:numId w:val="17"/>
        </w:numPr>
        <w:jc w:val="both"/>
        <w:rPr>
          <w:sz w:val="22"/>
          <w:szCs w:val="22"/>
        </w:rPr>
      </w:pPr>
      <w:r>
        <w:rPr>
          <w:sz w:val="22"/>
          <w:szCs w:val="22"/>
        </w:rPr>
        <w:t>O</w:t>
      </w:r>
      <w:r w:rsidR="00CC28A2" w:rsidRPr="00CC28A2">
        <w:rPr>
          <w:sz w:val="22"/>
          <w:szCs w:val="22"/>
        </w:rPr>
        <w:t>ccupational health</w:t>
      </w:r>
      <w:r>
        <w:rPr>
          <w:sz w:val="22"/>
          <w:szCs w:val="22"/>
        </w:rPr>
        <w:t xml:space="preserve"> questionnaire regarding your fitness to work</w:t>
      </w:r>
      <w:r w:rsidR="00837635">
        <w:rPr>
          <w:sz w:val="22"/>
          <w:szCs w:val="22"/>
        </w:rPr>
        <w:t>;</w:t>
      </w:r>
    </w:p>
    <w:p w:rsidR="00CC28A2" w:rsidRPr="00CC28A2" w:rsidRDefault="00CC28A2" w:rsidP="00EC158F">
      <w:pPr>
        <w:pStyle w:val="Pa1"/>
        <w:numPr>
          <w:ilvl w:val="0"/>
          <w:numId w:val="17"/>
        </w:numPr>
        <w:jc w:val="both"/>
        <w:rPr>
          <w:sz w:val="22"/>
          <w:szCs w:val="22"/>
        </w:rPr>
      </w:pPr>
      <w:r w:rsidRPr="00CC28A2">
        <w:rPr>
          <w:sz w:val="22"/>
          <w:szCs w:val="22"/>
        </w:rPr>
        <w:t>Information relating to health and safety</w:t>
      </w:r>
      <w:r w:rsidR="00837635">
        <w:rPr>
          <w:sz w:val="22"/>
          <w:szCs w:val="22"/>
        </w:rPr>
        <w:t>;</w:t>
      </w:r>
      <w:r w:rsidRPr="00CC28A2">
        <w:rPr>
          <w:sz w:val="22"/>
          <w:szCs w:val="22"/>
        </w:rPr>
        <w:t xml:space="preserve"> </w:t>
      </w:r>
    </w:p>
    <w:p w:rsidR="00DC09AB" w:rsidRDefault="00CC28A2" w:rsidP="00EC158F">
      <w:pPr>
        <w:pStyle w:val="Pa1"/>
        <w:numPr>
          <w:ilvl w:val="0"/>
          <w:numId w:val="17"/>
        </w:numPr>
        <w:rPr>
          <w:sz w:val="22"/>
          <w:szCs w:val="22"/>
        </w:rPr>
      </w:pPr>
      <w:r w:rsidRPr="00CC28A2">
        <w:rPr>
          <w:sz w:val="22"/>
          <w:szCs w:val="22"/>
        </w:rPr>
        <w:t xml:space="preserve">Trade union </w:t>
      </w:r>
      <w:r w:rsidR="00FC7D89">
        <w:rPr>
          <w:sz w:val="22"/>
          <w:szCs w:val="22"/>
        </w:rPr>
        <w:t>Information</w:t>
      </w:r>
      <w:r w:rsidR="00837635">
        <w:rPr>
          <w:sz w:val="22"/>
          <w:szCs w:val="22"/>
        </w:rPr>
        <w:t>;</w:t>
      </w:r>
    </w:p>
    <w:p w:rsidR="006323B6" w:rsidRPr="0039026A" w:rsidRDefault="00BA327E" w:rsidP="00EC158F">
      <w:pPr>
        <w:pStyle w:val="Pa1"/>
        <w:numPr>
          <w:ilvl w:val="0"/>
          <w:numId w:val="17"/>
        </w:numPr>
        <w:rPr>
          <w:color w:val="000000" w:themeColor="text1"/>
          <w:sz w:val="22"/>
          <w:szCs w:val="22"/>
        </w:rPr>
      </w:pPr>
      <w:r w:rsidRPr="0039026A">
        <w:rPr>
          <w:color w:val="000000" w:themeColor="text1"/>
          <w:sz w:val="22"/>
          <w:szCs w:val="22"/>
        </w:rPr>
        <w:t>Disclosure and Barring Service Information</w:t>
      </w:r>
      <w:r w:rsidR="00837635">
        <w:rPr>
          <w:color w:val="000000" w:themeColor="text1"/>
          <w:sz w:val="22"/>
          <w:szCs w:val="22"/>
        </w:rPr>
        <w:t>;</w:t>
      </w:r>
    </w:p>
    <w:p w:rsidR="006323B6" w:rsidRDefault="006323B6" w:rsidP="00EC158F">
      <w:pPr>
        <w:pStyle w:val="Pa1"/>
        <w:numPr>
          <w:ilvl w:val="0"/>
          <w:numId w:val="17"/>
        </w:numPr>
        <w:rPr>
          <w:sz w:val="22"/>
          <w:szCs w:val="22"/>
        </w:rPr>
      </w:pPr>
      <w:r w:rsidRPr="0039026A">
        <w:rPr>
          <w:color w:val="000000" w:themeColor="text1"/>
          <w:sz w:val="22"/>
          <w:szCs w:val="22"/>
        </w:rPr>
        <w:t>Employment Tribunal Information, complaints</w:t>
      </w:r>
      <w:r>
        <w:rPr>
          <w:sz w:val="22"/>
          <w:szCs w:val="22"/>
        </w:rPr>
        <w:t>, accidents and incident details</w:t>
      </w:r>
      <w:r w:rsidR="00837635">
        <w:rPr>
          <w:sz w:val="22"/>
          <w:szCs w:val="22"/>
        </w:rPr>
        <w:t>;</w:t>
      </w:r>
    </w:p>
    <w:p w:rsidR="006323B6" w:rsidRDefault="006323B6" w:rsidP="00EC158F">
      <w:pPr>
        <w:pStyle w:val="Pa1"/>
        <w:numPr>
          <w:ilvl w:val="0"/>
          <w:numId w:val="17"/>
        </w:numPr>
        <w:rPr>
          <w:sz w:val="22"/>
          <w:szCs w:val="22"/>
        </w:rPr>
      </w:pPr>
      <w:r>
        <w:rPr>
          <w:sz w:val="22"/>
          <w:szCs w:val="22"/>
        </w:rPr>
        <w:t>Access to Records requests</w:t>
      </w:r>
      <w:r w:rsidR="00837635">
        <w:rPr>
          <w:sz w:val="22"/>
          <w:szCs w:val="22"/>
        </w:rPr>
        <w:t>.</w:t>
      </w:r>
      <w:r>
        <w:rPr>
          <w:sz w:val="22"/>
          <w:szCs w:val="22"/>
        </w:rPr>
        <w:t xml:space="preserve"> </w:t>
      </w:r>
      <w:r w:rsidR="00BA327E" w:rsidRPr="00FC7D89">
        <w:rPr>
          <w:sz w:val="22"/>
          <w:szCs w:val="22"/>
        </w:rPr>
        <w:t xml:space="preserve"> </w:t>
      </w:r>
      <w:r w:rsidR="00CC28A2" w:rsidRPr="00FC7D89">
        <w:rPr>
          <w:sz w:val="22"/>
          <w:szCs w:val="22"/>
        </w:rPr>
        <w:t xml:space="preserve"> </w:t>
      </w:r>
    </w:p>
    <w:p w:rsidR="006323B6" w:rsidRDefault="006323B6" w:rsidP="00EC158F">
      <w:pPr>
        <w:pStyle w:val="Pa1"/>
        <w:jc w:val="both"/>
        <w:rPr>
          <w:rStyle w:val="A1"/>
          <w:rFonts w:asciiTheme="minorHAnsi" w:hAnsiTheme="minorHAnsi" w:cstheme="minorBidi"/>
        </w:rPr>
      </w:pPr>
    </w:p>
    <w:p w:rsidR="002F7975" w:rsidRDefault="00B10E50" w:rsidP="00EC158F">
      <w:pPr>
        <w:pStyle w:val="Pa1"/>
        <w:jc w:val="both"/>
        <w:rPr>
          <w:rStyle w:val="A1"/>
          <w:rFonts w:asciiTheme="minorHAnsi" w:hAnsiTheme="minorHAnsi" w:cstheme="minorBidi"/>
        </w:rPr>
      </w:pPr>
      <w:r w:rsidRPr="006F70AD">
        <w:rPr>
          <w:rStyle w:val="A1"/>
        </w:rPr>
        <w:t xml:space="preserve">Our staff are trained to handle your information correctly and protect your </w:t>
      </w:r>
      <w:r w:rsidR="002F7975">
        <w:rPr>
          <w:rStyle w:val="A1"/>
        </w:rPr>
        <w:t xml:space="preserve">confidentiality and </w:t>
      </w:r>
      <w:r w:rsidRPr="006F70AD">
        <w:rPr>
          <w:rStyle w:val="A1"/>
        </w:rPr>
        <w:t xml:space="preserve">privacy.  </w:t>
      </w:r>
    </w:p>
    <w:p w:rsidR="007616AB" w:rsidRDefault="001013AD" w:rsidP="006F70AD">
      <w:pPr>
        <w:pStyle w:val="Pa1"/>
        <w:spacing w:before="240" w:after="240"/>
        <w:jc w:val="both"/>
        <w:rPr>
          <w:rStyle w:val="A1"/>
        </w:rPr>
      </w:pPr>
      <w:r w:rsidRPr="006F70AD">
        <w:rPr>
          <w:rStyle w:val="A1"/>
        </w:rPr>
        <w:t>We aim to maintain high standards, adopt best practice for our record keeping and regularly check and report on how we are doing.</w:t>
      </w:r>
      <w:r w:rsidR="00EF0FAD" w:rsidRPr="006F70AD">
        <w:rPr>
          <w:rStyle w:val="A1"/>
        </w:rPr>
        <w:t xml:space="preserve">  Your information is never collected </w:t>
      </w:r>
      <w:r w:rsidR="007616AB">
        <w:rPr>
          <w:rStyle w:val="A1"/>
        </w:rPr>
        <w:t xml:space="preserve">or sold </w:t>
      </w:r>
      <w:r w:rsidR="00EF0FAD" w:rsidRPr="006F70AD">
        <w:rPr>
          <w:rStyle w:val="A1"/>
        </w:rPr>
        <w:t xml:space="preserve">for </w:t>
      </w:r>
      <w:r w:rsidR="009322E8">
        <w:rPr>
          <w:rStyle w:val="A1"/>
        </w:rPr>
        <w:t xml:space="preserve">direct </w:t>
      </w:r>
      <w:r w:rsidR="00EF0FAD" w:rsidRPr="006F70AD">
        <w:rPr>
          <w:rStyle w:val="A1"/>
        </w:rPr>
        <w:t>marketing purposes</w:t>
      </w:r>
      <w:r w:rsidR="007616AB">
        <w:rPr>
          <w:rStyle w:val="A1"/>
        </w:rPr>
        <w:t>.</w:t>
      </w:r>
    </w:p>
    <w:p w:rsidR="00CC28A2" w:rsidRDefault="00F6017B" w:rsidP="00CC28A2">
      <w:pPr>
        <w:pStyle w:val="Pa1"/>
        <w:jc w:val="both"/>
        <w:rPr>
          <w:b/>
          <w:sz w:val="22"/>
          <w:szCs w:val="22"/>
        </w:rPr>
      </w:pPr>
      <w:r w:rsidRPr="00EC158F">
        <w:rPr>
          <w:rStyle w:val="A1"/>
          <w:b/>
        </w:rPr>
        <w:t>6</w:t>
      </w:r>
      <w:r w:rsidR="00794F22">
        <w:rPr>
          <w:b/>
          <w:sz w:val="22"/>
          <w:szCs w:val="22"/>
        </w:rPr>
        <w:t>.</w:t>
      </w:r>
      <w:r w:rsidR="00794F22">
        <w:rPr>
          <w:b/>
          <w:sz w:val="22"/>
          <w:szCs w:val="22"/>
        </w:rPr>
        <w:tab/>
      </w:r>
      <w:r w:rsidR="00CC28A2" w:rsidRPr="00CC28A2">
        <w:rPr>
          <w:b/>
          <w:sz w:val="22"/>
          <w:szCs w:val="22"/>
        </w:rPr>
        <w:t xml:space="preserve">What is the purpose of processing data? </w:t>
      </w:r>
    </w:p>
    <w:p w:rsidR="005510F0" w:rsidRDefault="005510F0" w:rsidP="005510F0">
      <w:pPr>
        <w:pStyle w:val="Default"/>
      </w:pPr>
    </w:p>
    <w:p w:rsidR="005510F0" w:rsidRPr="0039026A" w:rsidRDefault="005510F0" w:rsidP="005510F0">
      <w:pPr>
        <w:pStyle w:val="Default"/>
        <w:rPr>
          <w:color w:val="000000" w:themeColor="text1"/>
          <w:sz w:val="22"/>
          <w:szCs w:val="22"/>
        </w:rPr>
      </w:pPr>
      <w:r w:rsidRPr="0039026A">
        <w:rPr>
          <w:color w:val="000000" w:themeColor="text1"/>
          <w:sz w:val="22"/>
          <w:szCs w:val="22"/>
        </w:rPr>
        <w:t xml:space="preserve">We may use a variety of means, including questionnaires, forms, direct questioning, </w:t>
      </w:r>
      <w:r w:rsidR="00837635" w:rsidRPr="0039026A">
        <w:rPr>
          <w:color w:val="000000" w:themeColor="text1"/>
          <w:sz w:val="22"/>
          <w:szCs w:val="22"/>
        </w:rPr>
        <w:t>and requests</w:t>
      </w:r>
      <w:r w:rsidRPr="0039026A">
        <w:rPr>
          <w:color w:val="000000" w:themeColor="text1"/>
          <w:sz w:val="22"/>
          <w:szCs w:val="22"/>
        </w:rPr>
        <w:t xml:space="preserve"> from third parties. Information may be collected by telephone, face-to-face, paper or electronic means, for the following purposes:</w:t>
      </w:r>
    </w:p>
    <w:p w:rsidR="005510F0" w:rsidRPr="0039026A" w:rsidRDefault="005510F0" w:rsidP="005510F0">
      <w:pPr>
        <w:pStyle w:val="Default"/>
        <w:rPr>
          <w:color w:val="000000" w:themeColor="text1"/>
        </w:rPr>
      </w:pPr>
    </w:p>
    <w:p w:rsidR="00CC28A2" w:rsidRPr="0039026A" w:rsidRDefault="00CC28A2" w:rsidP="00CC28A2">
      <w:pPr>
        <w:pStyle w:val="Pa1"/>
        <w:numPr>
          <w:ilvl w:val="0"/>
          <w:numId w:val="13"/>
        </w:numPr>
        <w:jc w:val="both"/>
        <w:rPr>
          <w:color w:val="000000" w:themeColor="text1"/>
          <w:sz w:val="22"/>
          <w:szCs w:val="22"/>
        </w:rPr>
      </w:pPr>
      <w:r w:rsidRPr="0039026A">
        <w:rPr>
          <w:color w:val="000000" w:themeColor="text1"/>
          <w:sz w:val="22"/>
          <w:szCs w:val="22"/>
        </w:rPr>
        <w:t>Staff administration</w:t>
      </w:r>
      <w:r w:rsidR="002F7975" w:rsidRPr="0039026A">
        <w:rPr>
          <w:color w:val="000000" w:themeColor="text1"/>
          <w:sz w:val="22"/>
          <w:szCs w:val="22"/>
        </w:rPr>
        <w:t xml:space="preserve"> and management </w:t>
      </w:r>
      <w:r w:rsidRPr="0039026A">
        <w:rPr>
          <w:color w:val="000000" w:themeColor="text1"/>
          <w:sz w:val="22"/>
          <w:szCs w:val="22"/>
        </w:rPr>
        <w:t>(including payroll</w:t>
      </w:r>
      <w:r w:rsidR="006323B6" w:rsidRPr="0039026A">
        <w:rPr>
          <w:color w:val="000000" w:themeColor="text1"/>
          <w:sz w:val="22"/>
          <w:szCs w:val="22"/>
        </w:rPr>
        <w:t xml:space="preserve"> and staff feedback</w:t>
      </w:r>
      <w:r w:rsidR="00540D93" w:rsidRPr="0039026A">
        <w:rPr>
          <w:color w:val="000000" w:themeColor="text1"/>
          <w:sz w:val="22"/>
          <w:szCs w:val="22"/>
        </w:rPr>
        <w:t xml:space="preserve"> via questionnaires or SMS texts</w:t>
      </w:r>
      <w:r w:rsidRPr="0039026A">
        <w:rPr>
          <w:color w:val="000000" w:themeColor="text1"/>
          <w:sz w:val="22"/>
          <w:szCs w:val="22"/>
        </w:rPr>
        <w:t>)</w:t>
      </w:r>
      <w:r w:rsidR="00837635">
        <w:rPr>
          <w:color w:val="000000" w:themeColor="text1"/>
          <w:sz w:val="22"/>
          <w:szCs w:val="22"/>
        </w:rPr>
        <w:t>;</w:t>
      </w:r>
      <w:r w:rsidRPr="0039026A">
        <w:rPr>
          <w:color w:val="000000" w:themeColor="text1"/>
          <w:sz w:val="22"/>
          <w:szCs w:val="22"/>
        </w:rPr>
        <w:t xml:space="preserve"> </w:t>
      </w:r>
    </w:p>
    <w:p w:rsidR="00CC28A2" w:rsidRPr="0039026A" w:rsidRDefault="00CC28A2" w:rsidP="00CC28A2">
      <w:pPr>
        <w:pStyle w:val="Pa1"/>
        <w:numPr>
          <w:ilvl w:val="0"/>
          <w:numId w:val="13"/>
        </w:numPr>
        <w:jc w:val="both"/>
        <w:rPr>
          <w:color w:val="000000" w:themeColor="text1"/>
          <w:sz w:val="22"/>
          <w:szCs w:val="22"/>
        </w:rPr>
      </w:pPr>
      <w:r w:rsidRPr="0039026A">
        <w:rPr>
          <w:color w:val="000000" w:themeColor="text1"/>
          <w:sz w:val="22"/>
          <w:szCs w:val="22"/>
        </w:rPr>
        <w:t>Pensions administration</w:t>
      </w:r>
      <w:r w:rsidR="00837635">
        <w:rPr>
          <w:color w:val="000000" w:themeColor="text1"/>
          <w:sz w:val="22"/>
          <w:szCs w:val="22"/>
        </w:rPr>
        <w:t>;</w:t>
      </w:r>
      <w:r w:rsidRPr="0039026A">
        <w:rPr>
          <w:color w:val="000000" w:themeColor="text1"/>
          <w:sz w:val="22"/>
          <w:szCs w:val="22"/>
        </w:rPr>
        <w:t xml:space="preserve"> </w:t>
      </w:r>
    </w:p>
    <w:p w:rsidR="00CC28A2" w:rsidRPr="0039026A" w:rsidRDefault="00CC28A2" w:rsidP="00CC28A2">
      <w:pPr>
        <w:pStyle w:val="Pa1"/>
        <w:numPr>
          <w:ilvl w:val="0"/>
          <w:numId w:val="13"/>
        </w:numPr>
        <w:jc w:val="both"/>
        <w:rPr>
          <w:color w:val="000000" w:themeColor="text1"/>
          <w:sz w:val="22"/>
          <w:szCs w:val="22"/>
        </w:rPr>
      </w:pPr>
      <w:r w:rsidRPr="0039026A">
        <w:rPr>
          <w:color w:val="000000" w:themeColor="text1"/>
          <w:sz w:val="22"/>
          <w:szCs w:val="22"/>
        </w:rPr>
        <w:t>Business management and planning</w:t>
      </w:r>
      <w:r w:rsidR="00837635">
        <w:rPr>
          <w:color w:val="000000" w:themeColor="text1"/>
          <w:sz w:val="22"/>
          <w:szCs w:val="22"/>
        </w:rPr>
        <w:t>;</w:t>
      </w:r>
      <w:r w:rsidRPr="0039026A">
        <w:rPr>
          <w:color w:val="000000" w:themeColor="text1"/>
          <w:sz w:val="22"/>
          <w:szCs w:val="22"/>
        </w:rPr>
        <w:t xml:space="preserve"> </w:t>
      </w:r>
    </w:p>
    <w:p w:rsidR="00CC28A2" w:rsidRPr="0039026A" w:rsidRDefault="00CC28A2" w:rsidP="00CC28A2">
      <w:pPr>
        <w:pStyle w:val="Pa1"/>
        <w:numPr>
          <w:ilvl w:val="0"/>
          <w:numId w:val="13"/>
        </w:numPr>
        <w:jc w:val="both"/>
        <w:rPr>
          <w:color w:val="000000" w:themeColor="text1"/>
          <w:sz w:val="22"/>
          <w:szCs w:val="22"/>
        </w:rPr>
      </w:pPr>
      <w:r w:rsidRPr="0039026A">
        <w:rPr>
          <w:color w:val="000000" w:themeColor="text1"/>
          <w:sz w:val="22"/>
          <w:szCs w:val="22"/>
        </w:rPr>
        <w:t>Accounting and Auditing</w:t>
      </w:r>
      <w:r w:rsidR="00837635">
        <w:rPr>
          <w:color w:val="000000" w:themeColor="text1"/>
          <w:sz w:val="22"/>
          <w:szCs w:val="22"/>
        </w:rPr>
        <w:t>;</w:t>
      </w:r>
      <w:r w:rsidRPr="0039026A">
        <w:rPr>
          <w:color w:val="000000" w:themeColor="text1"/>
          <w:sz w:val="22"/>
          <w:szCs w:val="22"/>
        </w:rPr>
        <w:t xml:space="preserve"> </w:t>
      </w:r>
    </w:p>
    <w:p w:rsidR="00CC28A2" w:rsidRPr="0039026A" w:rsidRDefault="00CC28A2" w:rsidP="00CC28A2">
      <w:pPr>
        <w:pStyle w:val="Pa1"/>
        <w:numPr>
          <w:ilvl w:val="0"/>
          <w:numId w:val="13"/>
        </w:numPr>
        <w:jc w:val="both"/>
        <w:rPr>
          <w:color w:val="000000" w:themeColor="text1"/>
          <w:sz w:val="22"/>
          <w:szCs w:val="22"/>
        </w:rPr>
      </w:pPr>
      <w:r w:rsidRPr="0039026A">
        <w:rPr>
          <w:color w:val="000000" w:themeColor="text1"/>
          <w:sz w:val="22"/>
          <w:szCs w:val="22"/>
        </w:rPr>
        <w:t>Accounts and records</w:t>
      </w:r>
      <w:r w:rsidR="00837635">
        <w:rPr>
          <w:color w:val="000000" w:themeColor="text1"/>
          <w:sz w:val="22"/>
          <w:szCs w:val="22"/>
        </w:rPr>
        <w:t>;</w:t>
      </w:r>
      <w:r w:rsidRPr="0039026A">
        <w:rPr>
          <w:color w:val="000000" w:themeColor="text1"/>
          <w:sz w:val="22"/>
          <w:szCs w:val="22"/>
        </w:rPr>
        <w:t xml:space="preserve"> </w:t>
      </w:r>
    </w:p>
    <w:p w:rsidR="00CC28A2" w:rsidRPr="00CC28A2" w:rsidRDefault="00CC28A2" w:rsidP="00CC28A2">
      <w:pPr>
        <w:pStyle w:val="Pa1"/>
        <w:numPr>
          <w:ilvl w:val="0"/>
          <w:numId w:val="13"/>
        </w:numPr>
        <w:jc w:val="both"/>
        <w:rPr>
          <w:sz w:val="22"/>
          <w:szCs w:val="22"/>
        </w:rPr>
      </w:pPr>
      <w:r w:rsidRPr="0039026A">
        <w:rPr>
          <w:color w:val="000000" w:themeColor="text1"/>
          <w:sz w:val="22"/>
          <w:szCs w:val="22"/>
        </w:rPr>
        <w:t xml:space="preserve">Crime prevention and prosecution </w:t>
      </w:r>
      <w:r w:rsidRPr="00CC28A2">
        <w:rPr>
          <w:sz w:val="22"/>
          <w:szCs w:val="22"/>
        </w:rPr>
        <w:t>of offenders</w:t>
      </w:r>
      <w:r w:rsidR="00837635">
        <w:rPr>
          <w:sz w:val="22"/>
          <w:szCs w:val="22"/>
        </w:rPr>
        <w:t>;</w:t>
      </w:r>
      <w:r w:rsidRPr="00CC28A2">
        <w:rPr>
          <w:sz w:val="22"/>
          <w:szCs w:val="22"/>
        </w:rPr>
        <w:t xml:space="preserve"> </w:t>
      </w:r>
    </w:p>
    <w:p w:rsidR="00CC28A2" w:rsidRPr="001D58D0" w:rsidRDefault="00CC28A2" w:rsidP="001D58D0">
      <w:pPr>
        <w:pStyle w:val="Pa1"/>
        <w:numPr>
          <w:ilvl w:val="0"/>
          <w:numId w:val="13"/>
        </w:numPr>
        <w:jc w:val="both"/>
        <w:rPr>
          <w:sz w:val="22"/>
          <w:szCs w:val="22"/>
        </w:rPr>
      </w:pPr>
      <w:r w:rsidRPr="00CC28A2">
        <w:rPr>
          <w:sz w:val="22"/>
          <w:szCs w:val="22"/>
        </w:rPr>
        <w:t>Education</w:t>
      </w:r>
      <w:r w:rsidR="00DC09AB">
        <w:rPr>
          <w:sz w:val="22"/>
          <w:szCs w:val="22"/>
        </w:rPr>
        <w:t xml:space="preserve"> </w:t>
      </w:r>
      <w:r w:rsidR="00DC09AB" w:rsidRPr="00DF07EE">
        <w:rPr>
          <w:color w:val="000000" w:themeColor="text1"/>
          <w:sz w:val="22"/>
          <w:szCs w:val="22"/>
        </w:rPr>
        <w:t>and Training</w:t>
      </w:r>
      <w:r w:rsidR="00837635">
        <w:rPr>
          <w:color w:val="000000" w:themeColor="text1"/>
          <w:sz w:val="22"/>
          <w:szCs w:val="22"/>
        </w:rPr>
        <w:t>;</w:t>
      </w:r>
      <w:r w:rsidRPr="00DF07EE">
        <w:rPr>
          <w:color w:val="000000" w:themeColor="text1"/>
          <w:sz w:val="22"/>
          <w:szCs w:val="22"/>
        </w:rPr>
        <w:t xml:space="preserve"> </w:t>
      </w:r>
    </w:p>
    <w:p w:rsidR="00CC28A2" w:rsidRPr="001D58D0" w:rsidRDefault="00CC28A2" w:rsidP="001D58D0">
      <w:pPr>
        <w:pStyle w:val="Pa1"/>
        <w:numPr>
          <w:ilvl w:val="0"/>
          <w:numId w:val="13"/>
        </w:numPr>
        <w:jc w:val="both"/>
        <w:rPr>
          <w:sz w:val="22"/>
          <w:szCs w:val="22"/>
        </w:rPr>
      </w:pPr>
      <w:r w:rsidRPr="00CC28A2">
        <w:rPr>
          <w:sz w:val="22"/>
          <w:szCs w:val="22"/>
        </w:rPr>
        <w:t>Health administration and services</w:t>
      </w:r>
      <w:r w:rsidR="00837635">
        <w:rPr>
          <w:sz w:val="22"/>
          <w:szCs w:val="22"/>
        </w:rPr>
        <w:t>;</w:t>
      </w:r>
      <w:r w:rsidRPr="00CC28A2">
        <w:rPr>
          <w:sz w:val="22"/>
          <w:szCs w:val="22"/>
        </w:rPr>
        <w:t xml:space="preserve"> </w:t>
      </w:r>
    </w:p>
    <w:p w:rsidR="00CC28A2" w:rsidRPr="001D58D0" w:rsidRDefault="00CC28A2" w:rsidP="001D58D0">
      <w:pPr>
        <w:pStyle w:val="Pa1"/>
        <w:numPr>
          <w:ilvl w:val="0"/>
          <w:numId w:val="13"/>
        </w:numPr>
        <w:jc w:val="both"/>
        <w:rPr>
          <w:sz w:val="22"/>
          <w:szCs w:val="22"/>
        </w:rPr>
      </w:pPr>
      <w:r w:rsidRPr="00CC28A2">
        <w:rPr>
          <w:sz w:val="22"/>
          <w:szCs w:val="22"/>
        </w:rPr>
        <w:t>Information and databank administration</w:t>
      </w:r>
      <w:r w:rsidR="00837635">
        <w:rPr>
          <w:sz w:val="22"/>
          <w:szCs w:val="22"/>
        </w:rPr>
        <w:t>;</w:t>
      </w:r>
      <w:r w:rsidRPr="00CC28A2">
        <w:rPr>
          <w:sz w:val="22"/>
          <w:szCs w:val="22"/>
        </w:rPr>
        <w:t xml:space="preserve"> </w:t>
      </w:r>
    </w:p>
    <w:p w:rsidR="00CC28A2" w:rsidRPr="001D58D0" w:rsidRDefault="00CC28A2" w:rsidP="001D58D0">
      <w:pPr>
        <w:pStyle w:val="Pa1"/>
        <w:numPr>
          <w:ilvl w:val="0"/>
          <w:numId w:val="13"/>
        </w:numPr>
        <w:jc w:val="both"/>
        <w:rPr>
          <w:sz w:val="22"/>
          <w:szCs w:val="22"/>
        </w:rPr>
      </w:pPr>
      <w:r w:rsidRPr="00CC28A2">
        <w:rPr>
          <w:sz w:val="22"/>
          <w:szCs w:val="22"/>
        </w:rPr>
        <w:t>Sharing and matching of personal information for national fraud initiative</w:t>
      </w:r>
      <w:r w:rsidR="00837635">
        <w:rPr>
          <w:sz w:val="22"/>
          <w:szCs w:val="22"/>
        </w:rPr>
        <w:t>.</w:t>
      </w:r>
    </w:p>
    <w:p w:rsidR="001D58D0" w:rsidRDefault="001D58D0" w:rsidP="007616AB">
      <w:pPr>
        <w:autoSpaceDE w:val="0"/>
        <w:autoSpaceDN w:val="0"/>
        <w:adjustRightInd w:val="0"/>
        <w:spacing w:before="240" w:after="240" w:line="240" w:lineRule="auto"/>
        <w:rPr>
          <w:rFonts w:ascii="Arial" w:hAnsi="Arial" w:cs="Arial"/>
          <w:iCs/>
          <w:color w:val="000000"/>
        </w:rPr>
      </w:pPr>
      <w:r>
        <w:rPr>
          <w:rFonts w:ascii="Arial" w:hAnsi="Arial" w:cs="Arial"/>
          <w:iCs/>
          <w:color w:val="000000"/>
        </w:rPr>
        <w:t xml:space="preserve">We have a legal basis to process this </w:t>
      </w:r>
      <w:r w:rsidR="007616AB">
        <w:rPr>
          <w:rFonts w:ascii="Arial" w:hAnsi="Arial" w:cs="Arial"/>
          <w:iCs/>
          <w:color w:val="000000"/>
        </w:rPr>
        <w:t xml:space="preserve">as part of your contract of employment (either permanent or temporary) or as part of our recruitment processes following </w:t>
      </w:r>
      <w:r>
        <w:rPr>
          <w:rFonts w:ascii="Arial" w:hAnsi="Arial" w:cs="Arial"/>
          <w:iCs/>
          <w:color w:val="000000"/>
        </w:rPr>
        <w:t xml:space="preserve">data protection </w:t>
      </w:r>
      <w:r w:rsidR="007616AB">
        <w:rPr>
          <w:rFonts w:ascii="Arial" w:hAnsi="Arial" w:cs="Arial"/>
          <w:iCs/>
          <w:color w:val="000000"/>
        </w:rPr>
        <w:t xml:space="preserve">and employment </w:t>
      </w:r>
      <w:r>
        <w:rPr>
          <w:rFonts w:ascii="Arial" w:hAnsi="Arial" w:cs="Arial"/>
          <w:iCs/>
          <w:color w:val="000000"/>
        </w:rPr>
        <w:t>legislation</w:t>
      </w:r>
      <w:r w:rsidR="007616AB">
        <w:rPr>
          <w:rFonts w:ascii="Arial" w:hAnsi="Arial" w:cs="Arial"/>
          <w:iCs/>
          <w:color w:val="000000"/>
        </w:rPr>
        <w:t xml:space="preserve">.  </w:t>
      </w:r>
    </w:p>
    <w:p w:rsidR="00B02494" w:rsidRDefault="00B02494" w:rsidP="007616AB">
      <w:pPr>
        <w:autoSpaceDE w:val="0"/>
        <w:autoSpaceDN w:val="0"/>
        <w:adjustRightInd w:val="0"/>
        <w:spacing w:before="240" w:after="240" w:line="240" w:lineRule="auto"/>
        <w:rPr>
          <w:rFonts w:ascii="Arial" w:hAnsi="Arial" w:cs="Arial"/>
          <w:iCs/>
          <w:color w:val="000000"/>
        </w:rPr>
      </w:pPr>
    </w:p>
    <w:p w:rsidR="00B02494" w:rsidRDefault="00B02494" w:rsidP="007616AB">
      <w:pPr>
        <w:autoSpaceDE w:val="0"/>
        <w:autoSpaceDN w:val="0"/>
        <w:adjustRightInd w:val="0"/>
        <w:spacing w:before="240" w:after="240" w:line="240" w:lineRule="auto"/>
        <w:rPr>
          <w:rFonts w:ascii="Arial" w:hAnsi="Arial" w:cs="Arial"/>
          <w:iCs/>
          <w:color w:val="000000"/>
        </w:rPr>
      </w:pPr>
    </w:p>
    <w:p w:rsidR="007616AB" w:rsidRPr="007616AB" w:rsidRDefault="00F6017B" w:rsidP="007616AB">
      <w:pPr>
        <w:autoSpaceDE w:val="0"/>
        <w:autoSpaceDN w:val="0"/>
        <w:adjustRightInd w:val="0"/>
        <w:spacing w:before="240" w:after="240" w:line="240" w:lineRule="auto"/>
        <w:rPr>
          <w:rFonts w:ascii="Arial" w:hAnsi="Arial" w:cs="Arial"/>
          <w:b/>
          <w:iCs/>
          <w:color w:val="000000"/>
        </w:rPr>
      </w:pPr>
      <w:r>
        <w:rPr>
          <w:rFonts w:ascii="Arial" w:hAnsi="Arial" w:cs="Arial"/>
          <w:b/>
          <w:iCs/>
          <w:color w:val="000000"/>
        </w:rPr>
        <w:lastRenderedPageBreak/>
        <w:t>7.</w:t>
      </w:r>
      <w:r>
        <w:rPr>
          <w:rFonts w:ascii="Arial" w:hAnsi="Arial" w:cs="Arial"/>
          <w:b/>
          <w:iCs/>
          <w:color w:val="000000"/>
        </w:rPr>
        <w:tab/>
      </w:r>
      <w:r w:rsidR="007616AB" w:rsidRPr="007616AB">
        <w:rPr>
          <w:rFonts w:ascii="Arial" w:hAnsi="Arial" w:cs="Arial"/>
          <w:b/>
          <w:iCs/>
          <w:color w:val="000000"/>
        </w:rPr>
        <w:t>Sharing your information</w:t>
      </w:r>
    </w:p>
    <w:p w:rsidR="008373E1" w:rsidRPr="008373E1" w:rsidRDefault="008373E1" w:rsidP="008373E1">
      <w:pPr>
        <w:autoSpaceDE w:val="0"/>
        <w:autoSpaceDN w:val="0"/>
        <w:adjustRightInd w:val="0"/>
        <w:spacing w:before="240" w:after="240" w:line="240" w:lineRule="auto"/>
        <w:rPr>
          <w:rFonts w:ascii="Arial" w:hAnsi="Arial" w:cs="Arial"/>
          <w:iCs/>
          <w:color w:val="000000"/>
        </w:rPr>
      </w:pPr>
      <w:r w:rsidRPr="008373E1">
        <w:rPr>
          <w:rFonts w:ascii="Arial" w:hAnsi="Arial" w:cs="Arial"/>
          <w:iCs/>
          <w:color w:val="000000"/>
        </w:rPr>
        <w:t xml:space="preserve">No confidential information held by the </w:t>
      </w:r>
      <w:r w:rsidR="00DC09AB" w:rsidRPr="0039026A">
        <w:rPr>
          <w:rFonts w:ascii="Arial" w:hAnsi="Arial" w:cs="Arial"/>
          <w:iCs/>
          <w:color w:val="000000" w:themeColor="text1"/>
        </w:rPr>
        <w:t>Trust</w:t>
      </w:r>
      <w:r w:rsidRPr="0039026A">
        <w:rPr>
          <w:rFonts w:ascii="Arial" w:hAnsi="Arial" w:cs="Arial"/>
          <w:iCs/>
          <w:color w:val="000000" w:themeColor="text1"/>
        </w:rPr>
        <w:t xml:space="preserve"> </w:t>
      </w:r>
      <w:r w:rsidRPr="008373E1">
        <w:rPr>
          <w:rFonts w:ascii="Arial" w:hAnsi="Arial" w:cs="Arial"/>
          <w:iCs/>
          <w:color w:val="000000"/>
        </w:rPr>
        <w:t xml:space="preserve">will be disclosed without your consent with the exception of: </w:t>
      </w:r>
    </w:p>
    <w:p w:rsidR="008373E1" w:rsidRPr="00A37573" w:rsidRDefault="008373E1" w:rsidP="00A37573">
      <w:pPr>
        <w:pStyle w:val="ListParagraph"/>
        <w:numPr>
          <w:ilvl w:val="0"/>
          <w:numId w:val="20"/>
        </w:numPr>
        <w:autoSpaceDE w:val="0"/>
        <w:autoSpaceDN w:val="0"/>
        <w:adjustRightInd w:val="0"/>
        <w:spacing w:before="240" w:after="240" w:line="240" w:lineRule="auto"/>
        <w:rPr>
          <w:rFonts w:ascii="Arial" w:hAnsi="Arial" w:cs="Arial"/>
          <w:iCs/>
          <w:color w:val="000000"/>
        </w:rPr>
      </w:pPr>
      <w:r w:rsidRPr="00A37573">
        <w:rPr>
          <w:rFonts w:ascii="Arial" w:hAnsi="Arial" w:cs="Arial"/>
          <w:iCs/>
          <w:color w:val="000000"/>
        </w:rPr>
        <w:t xml:space="preserve">Where the disclosure is required by law (for example if ordered by a judge or a presiding officer of a court using a court order; to the HSE under the Health &amp;Safety at Work </w:t>
      </w:r>
      <w:r w:rsidR="00837635" w:rsidRPr="00A37573">
        <w:rPr>
          <w:rFonts w:ascii="Arial" w:hAnsi="Arial" w:cs="Arial"/>
          <w:iCs/>
          <w:color w:val="000000"/>
        </w:rPr>
        <w:t>etc.</w:t>
      </w:r>
      <w:r w:rsidRPr="00A37573">
        <w:rPr>
          <w:rFonts w:ascii="Arial" w:hAnsi="Arial" w:cs="Arial"/>
          <w:iCs/>
          <w:color w:val="000000"/>
        </w:rPr>
        <w:t xml:space="preserve"> Act 1974; for statutory requirement to notify certain infectious diseases; to the NHS Counter Fraud Service to detect and prosecute Fraud)</w:t>
      </w:r>
      <w:r w:rsidR="00837635">
        <w:rPr>
          <w:rFonts w:ascii="Arial" w:hAnsi="Arial" w:cs="Arial"/>
          <w:iCs/>
          <w:color w:val="000000"/>
        </w:rPr>
        <w:t>;</w:t>
      </w:r>
    </w:p>
    <w:p w:rsidR="008373E1" w:rsidRDefault="008373E1" w:rsidP="00A37573">
      <w:pPr>
        <w:pStyle w:val="ListParagraph"/>
        <w:numPr>
          <w:ilvl w:val="0"/>
          <w:numId w:val="20"/>
        </w:numPr>
        <w:autoSpaceDE w:val="0"/>
        <w:autoSpaceDN w:val="0"/>
        <w:adjustRightInd w:val="0"/>
        <w:spacing w:before="240" w:after="240" w:line="240" w:lineRule="auto"/>
        <w:rPr>
          <w:rFonts w:ascii="Arial" w:hAnsi="Arial" w:cs="Arial"/>
          <w:iCs/>
          <w:color w:val="000000"/>
        </w:rPr>
      </w:pPr>
      <w:r w:rsidRPr="00A37573">
        <w:rPr>
          <w:rFonts w:ascii="Arial" w:hAnsi="Arial" w:cs="Arial"/>
          <w:iCs/>
          <w:color w:val="000000"/>
        </w:rPr>
        <w:t>Where the disclosure is in the public interest (for example where a worker’s health endangers others and the worker refuses to disclose information which would allow potential harm to be avoided)</w:t>
      </w:r>
      <w:r w:rsidR="00837635">
        <w:rPr>
          <w:rFonts w:ascii="Arial" w:hAnsi="Arial" w:cs="Arial"/>
          <w:iCs/>
          <w:color w:val="000000"/>
        </w:rPr>
        <w:t>.</w:t>
      </w:r>
    </w:p>
    <w:p w:rsidR="008373E1" w:rsidRPr="00A37573" w:rsidRDefault="008373E1">
      <w:pPr>
        <w:autoSpaceDE w:val="0"/>
        <w:autoSpaceDN w:val="0"/>
        <w:adjustRightInd w:val="0"/>
        <w:spacing w:before="240" w:after="240" w:line="240" w:lineRule="auto"/>
        <w:rPr>
          <w:rFonts w:ascii="Arial" w:hAnsi="Arial" w:cs="Arial"/>
          <w:iCs/>
          <w:color w:val="000000"/>
        </w:rPr>
      </w:pPr>
      <w:r w:rsidRPr="008373E1">
        <w:rPr>
          <w:rFonts w:ascii="Arial" w:hAnsi="Arial" w:cs="Arial"/>
          <w:iCs/>
          <w:color w:val="000000"/>
        </w:rPr>
        <w:t>Where disclosure of personal data is necessary for the above reasons, this will always be assessed on a case-by-case basis, using the minimum information necessary for the specific purpose and circumstances and with the appropriate security controls in place.</w:t>
      </w:r>
    </w:p>
    <w:p w:rsidR="007616AB" w:rsidRPr="007616AB" w:rsidRDefault="00F6017B" w:rsidP="007616AB">
      <w:pPr>
        <w:autoSpaceDE w:val="0"/>
        <w:autoSpaceDN w:val="0"/>
        <w:adjustRightInd w:val="0"/>
        <w:spacing w:before="240" w:after="240" w:line="240" w:lineRule="auto"/>
        <w:rPr>
          <w:rFonts w:ascii="Arial" w:hAnsi="Arial" w:cs="Arial"/>
          <w:b/>
          <w:iCs/>
          <w:color w:val="000000"/>
        </w:rPr>
      </w:pPr>
      <w:r>
        <w:rPr>
          <w:rFonts w:ascii="Arial" w:hAnsi="Arial" w:cs="Arial"/>
          <w:b/>
          <w:iCs/>
          <w:color w:val="000000"/>
        </w:rPr>
        <w:t>8.</w:t>
      </w:r>
      <w:r>
        <w:rPr>
          <w:rFonts w:ascii="Arial" w:hAnsi="Arial" w:cs="Arial"/>
          <w:b/>
          <w:iCs/>
          <w:color w:val="000000"/>
        </w:rPr>
        <w:tab/>
      </w:r>
      <w:r w:rsidR="007616AB" w:rsidRPr="007616AB">
        <w:rPr>
          <w:rFonts w:ascii="Arial" w:hAnsi="Arial" w:cs="Arial"/>
          <w:b/>
          <w:iCs/>
          <w:color w:val="000000"/>
        </w:rPr>
        <w:t xml:space="preserve">Use of Third Party </w:t>
      </w:r>
      <w:r w:rsidR="007616AB">
        <w:rPr>
          <w:rFonts w:ascii="Arial" w:hAnsi="Arial" w:cs="Arial"/>
          <w:b/>
          <w:iCs/>
          <w:color w:val="000000"/>
        </w:rPr>
        <w:t xml:space="preserve">Companies </w:t>
      </w:r>
    </w:p>
    <w:p w:rsidR="00540D93" w:rsidRDefault="007E3E08" w:rsidP="007616AB">
      <w:pPr>
        <w:autoSpaceDE w:val="0"/>
        <w:autoSpaceDN w:val="0"/>
        <w:adjustRightInd w:val="0"/>
        <w:spacing w:before="240" w:after="240" w:line="240" w:lineRule="auto"/>
        <w:rPr>
          <w:rFonts w:ascii="Arial" w:hAnsi="Arial" w:cs="Arial"/>
          <w:iCs/>
          <w:color w:val="000000"/>
        </w:rPr>
      </w:pPr>
      <w:r>
        <w:rPr>
          <w:rFonts w:ascii="Arial" w:hAnsi="Arial" w:cs="Arial"/>
          <w:iCs/>
          <w:color w:val="000000"/>
        </w:rPr>
        <w:t xml:space="preserve">In order to </w:t>
      </w:r>
      <w:r w:rsidRPr="007E3E08">
        <w:rPr>
          <w:rFonts w:ascii="Arial" w:hAnsi="Arial" w:cs="Arial"/>
          <w:iCs/>
          <w:color w:val="000000"/>
        </w:rPr>
        <w:t xml:space="preserve">comply with our obligations as an employer </w:t>
      </w:r>
      <w:r>
        <w:rPr>
          <w:rFonts w:ascii="Arial" w:hAnsi="Arial" w:cs="Arial"/>
          <w:iCs/>
          <w:color w:val="000000"/>
        </w:rPr>
        <w:t>and to provide efficient</w:t>
      </w:r>
      <w:r w:rsidRPr="007616AB">
        <w:rPr>
          <w:rFonts w:ascii="Arial" w:hAnsi="Arial" w:cs="Arial"/>
          <w:iCs/>
          <w:color w:val="000000"/>
        </w:rPr>
        <w:t xml:space="preserve"> </w:t>
      </w:r>
      <w:r w:rsidR="007616AB" w:rsidRPr="007616AB">
        <w:rPr>
          <w:rFonts w:ascii="Arial" w:hAnsi="Arial" w:cs="Arial"/>
          <w:iCs/>
          <w:color w:val="000000"/>
        </w:rPr>
        <w:t xml:space="preserve">staff administration </w:t>
      </w:r>
      <w:r w:rsidR="0036306C" w:rsidRPr="0036306C">
        <w:rPr>
          <w:rFonts w:ascii="Arial" w:hAnsi="Arial" w:cs="Arial"/>
          <w:iCs/>
          <w:color w:val="000000"/>
        </w:rPr>
        <w:t xml:space="preserve">Bradford Teaching Hospitals NHS Foundation Trust </w:t>
      </w:r>
      <w:r w:rsidR="007616AB">
        <w:rPr>
          <w:rFonts w:ascii="Arial" w:hAnsi="Arial" w:cs="Arial"/>
          <w:iCs/>
          <w:color w:val="000000"/>
        </w:rPr>
        <w:t xml:space="preserve">may </w:t>
      </w:r>
      <w:r w:rsidR="00F6017B">
        <w:rPr>
          <w:rFonts w:ascii="Arial" w:hAnsi="Arial" w:cs="Arial"/>
          <w:iCs/>
          <w:color w:val="000000"/>
        </w:rPr>
        <w:t>share</w:t>
      </w:r>
      <w:r w:rsidR="00540D93">
        <w:rPr>
          <w:rFonts w:ascii="Arial" w:hAnsi="Arial" w:cs="Arial"/>
          <w:iCs/>
          <w:color w:val="000000"/>
        </w:rPr>
        <w:t xml:space="preserve"> your data to very specific third party organisations for clearly identified purposes including: </w:t>
      </w:r>
    </w:p>
    <w:p w:rsidR="00540D93" w:rsidRPr="00EC158F" w:rsidRDefault="00540D93" w:rsidP="00EC158F">
      <w:pPr>
        <w:pStyle w:val="ListParagraph"/>
        <w:numPr>
          <w:ilvl w:val="0"/>
          <w:numId w:val="18"/>
        </w:numPr>
        <w:autoSpaceDE w:val="0"/>
        <w:autoSpaceDN w:val="0"/>
        <w:adjustRightInd w:val="0"/>
        <w:spacing w:after="0" w:line="240" w:lineRule="auto"/>
        <w:rPr>
          <w:rFonts w:ascii="Arial" w:hAnsi="Arial" w:cs="Arial"/>
          <w:iCs/>
          <w:color w:val="000000"/>
        </w:rPr>
      </w:pPr>
      <w:r w:rsidRPr="00EC158F">
        <w:rPr>
          <w:rFonts w:ascii="Arial" w:hAnsi="Arial" w:cs="Arial"/>
          <w:iCs/>
          <w:color w:val="000000"/>
        </w:rPr>
        <w:t>Recruitment</w:t>
      </w:r>
      <w:r w:rsidR="004F1909" w:rsidRPr="00EC158F">
        <w:rPr>
          <w:rFonts w:ascii="Arial" w:hAnsi="Arial" w:cs="Arial"/>
          <w:iCs/>
          <w:color w:val="000000"/>
        </w:rPr>
        <w:t xml:space="preserve"> and selection</w:t>
      </w:r>
    </w:p>
    <w:p w:rsidR="00540D93" w:rsidRPr="00EC158F" w:rsidRDefault="00540D93" w:rsidP="00EC158F">
      <w:pPr>
        <w:pStyle w:val="ListParagraph"/>
        <w:numPr>
          <w:ilvl w:val="0"/>
          <w:numId w:val="18"/>
        </w:numPr>
        <w:autoSpaceDE w:val="0"/>
        <w:autoSpaceDN w:val="0"/>
        <w:adjustRightInd w:val="0"/>
        <w:spacing w:after="0" w:line="240" w:lineRule="auto"/>
        <w:rPr>
          <w:rFonts w:ascii="Arial" w:hAnsi="Arial" w:cs="Arial"/>
          <w:iCs/>
          <w:color w:val="000000"/>
        </w:rPr>
      </w:pPr>
      <w:r w:rsidRPr="00EC158F">
        <w:rPr>
          <w:rFonts w:ascii="Arial" w:hAnsi="Arial" w:cs="Arial"/>
          <w:iCs/>
          <w:color w:val="000000"/>
        </w:rPr>
        <w:t>Payroll</w:t>
      </w:r>
      <w:r w:rsidR="004F1909" w:rsidRPr="00EC158F">
        <w:rPr>
          <w:rFonts w:ascii="Arial" w:hAnsi="Arial" w:cs="Arial"/>
          <w:iCs/>
          <w:color w:val="000000"/>
        </w:rPr>
        <w:t xml:space="preserve"> and pensions</w:t>
      </w:r>
    </w:p>
    <w:p w:rsidR="00540D93" w:rsidRPr="00EC158F" w:rsidRDefault="00540D93" w:rsidP="00EC158F">
      <w:pPr>
        <w:pStyle w:val="ListParagraph"/>
        <w:numPr>
          <w:ilvl w:val="0"/>
          <w:numId w:val="18"/>
        </w:numPr>
        <w:autoSpaceDE w:val="0"/>
        <w:autoSpaceDN w:val="0"/>
        <w:adjustRightInd w:val="0"/>
        <w:spacing w:after="0" w:line="240" w:lineRule="auto"/>
        <w:rPr>
          <w:rFonts w:ascii="Arial" w:hAnsi="Arial" w:cs="Arial"/>
          <w:iCs/>
          <w:color w:val="000000"/>
        </w:rPr>
      </w:pPr>
      <w:r w:rsidRPr="00EC158F">
        <w:rPr>
          <w:rFonts w:ascii="Arial" w:hAnsi="Arial" w:cs="Arial"/>
          <w:iCs/>
          <w:color w:val="000000"/>
        </w:rPr>
        <w:t>Medical Revalidation, appraisal and support</w:t>
      </w:r>
    </w:p>
    <w:p w:rsidR="004F1909" w:rsidRPr="00EC158F" w:rsidRDefault="004F1909" w:rsidP="00EC158F">
      <w:pPr>
        <w:pStyle w:val="ListParagraph"/>
        <w:numPr>
          <w:ilvl w:val="0"/>
          <w:numId w:val="18"/>
        </w:numPr>
        <w:autoSpaceDE w:val="0"/>
        <w:autoSpaceDN w:val="0"/>
        <w:adjustRightInd w:val="0"/>
        <w:spacing w:after="0" w:line="240" w:lineRule="auto"/>
        <w:rPr>
          <w:rFonts w:ascii="Arial" w:hAnsi="Arial" w:cs="Arial"/>
          <w:iCs/>
          <w:color w:val="000000"/>
        </w:rPr>
      </w:pPr>
      <w:r w:rsidRPr="00EC158F">
        <w:rPr>
          <w:rFonts w:ascii="Arial" w:hAnsi="Arial" w:cs="Arial"/>
          <w:iCs/>
          <w:color w:val="000000"/>
        </w:rPr>
        <w:t xml:space="preserve">Disclosure and Barring Service checks </w:t>
      </w:r>
    </w:p>
    <w:p w:rsidR="004F1909" w:rsidRPr="00EC158F" w:rsidRDefault="004F1909" w:rsidP="00EC158F">
      <w:pPr>
        <w:pStyle w:val="ListParagraph"/>
        <w:numPr>
          <w:ilvl w:val="0"/>
          <w:numId w:val="18"/>
        </w:numPr>
        <w:autoSpaceDE w:val="0"/>
        <w:autoSpaceDN w:val="0"/>
        <w:adjustRightInd w:val="0"/>
        <w:spacing w:after="0" w:line="240" w:lineRule="auto"/>
        <w:rPr>
          <w:rFonts w:ascii="Arial" w:hAnsi="Arial" w:cs="Arial"/>
          <w:iCs/>
          <w:color w:val="000000"/>
        </w:rPr>
      </w:pPr>
      <w:r w:rsidRPr="00EC158F">
        <w:rPr>
          <w:rFonts w:ascii="Arial" w:hAnsi="Arial" w:cs="Arial"/>
          <w:iCs/>
          <w:color w:val="000000"/>
        </w:rPr>
        <w:t>Roster management and exception reporting</w:t>
      </w:r>
    </w:p>
    <w:p w:rsidR="004F1909" w:rsidRPr="00EC158F" w:rsidRDefault="004F1909" w:rsidP="00EC158F">
      <w:pPr>
        <w:pStyle w:val="ListParagraph"/>
        <w:numPr>
          <w:ilvl w:val="0"/>
          <w:numId w:val="18"/>
        </w:numPr>
        <w:autoSpaceDE w:val="0"/>
        <w:autoSpaceDN w:val="0"/>
        <w:adjustRightInd w:val="0"/>
        <w:spacing w:after="0" w:line="240" w:lineRule="auto"/>
        <w:rPr>
          <w:rFonts w:ascii="Arial" w:hAnsi="Arial" w:cs="Arial"/>
          <w:iCs/>
          <w:color w:val="000000"/>
        </w:rPr>
      </w:pPr>
      <w:r w:rsidRPr="00EC158F">
        <w:rPr>
          <w:rFonts w:ascii="Arial" w:hAnsi="Arial" w:cs="Arial"/>
          <w:iCs/>
          <w:color w:val="000000"/>
        </w:rPr>
        <w:t xml:space="preserve">National mandatory reporting requirements </w:t>
      </w:r>
    </w:p>
    <w:p w:rsidR="004F1909" w:rsidRPr="00EC158F" w:rsidRDefault="004F1909" w:rsidP="00EC158F">
      <w:pPr>
        <w:pStyle w:val="ListParagraph"/>
        <w:numPr>
          <w:ilvl w:val="0"/>
          <w:numId w:val="18"/>
        </w:numPr>
        <w:autoSpaceDE w:val="0"/>
        <w:autoSpaceDN w:val="0"/>
        <w:adjustRightInd w:val="0"/>
        <w:spacing w:after="0" w:line="240" w:lineRule="auto"/>
        <w:rPr>
          <w:rFonts w:ascii="Arial" w:hAnsi="Arial" w:cs="Arial"/>
          <w:iCs/>
          <w:color w:val="000000"/>
        </w:rPr>
      </w:pPr>
      <w:r w:rsidRPr="00EC158F">
        <w:rPr>
          <w:rFonts w:ascii="Arial" w:hAnsi="Arial" w:cs="Arial"/>
          <w:iCs/>
          <w:color w:val="000000"/>
        </w:rPr>
        <w:t>Staff surveys</w:t>
      </w:r>
      <w:r w:rsidR="007E3E08">
        <w:rPr>
          <w:rFonts w:ascii="Arial" w:hAnsi="Arial" w:cs="Arial"/>
          <w:iCs/>
          <w:color w:val="000000"/>
        </w:rPr>
        <w:t xml:space="preserve"> and feedback processes including SMS text messages</w:t>
      </w:r>
    </w:p>
    <w:p w:rsidR="007616AB" w:rsidRDefault="004F1909" w:rsidP="007616AB">
      <w:pPr>
        <w:autoSpaceDE w:val="0"/>
        <w:autoSpaceDN w:val="0"/>
        <w:adjustRightInd w:val="0"/>
        <w:spacing w:before="240" w:after="240" w:line="240" w:lineRule="auto"/>
        <w:rPr>
          <w:rFonts w:ascii="Arial" w:hAnsi="Arial" w:cs="Arial"/>
          <w:iCs/>
          <w:color w:val="000000"/>
        </w:rPr>
      </w:pPr>
      <w:r>
        <w:rPr>
          <w:rFonts w:ascii="Arial" w:hAnsi="Arial" w:cs="Arial"/>
          <w:iCs/>
          <w:color w:val="000000"/>
        </w:rPr>
        <w:t xml:space="preserve">Where data is shared </w:t>
      </w:r>
      <w:r w:rsidR="007E3E08">
        <w:rPr>
          <w:rFonts w:ascii="Arial" w:hAnsi="Arial" w:cs="Arial"/>
          <w:iCs/>
          <w:color w:val="000000"/>
        </w:rPr>
        <w:t>with third parties</w:t>
      </w:r>
      <w:r>
        <w:rPr>
          <w:rFonts w:ascii="Arial" w:hAnsi="Arial" w:cs="Arial"/>
          <w:iCs/>
          <w:color w:val="000000"/>
        </w:rPr>
        <w:t xml:space="preserve"> there is always a </w:t>
      </w:r>
      <w:r w:rsidR="00B405D5">
        <w:rPr>
          <w:rFonts w:ascii="Arial" w:hAnsi="Arial" w:cs="Arial"/>
          <w:iCs/>
          <w:color w:val="000000"/>
        </w:rPr>
        <w:t xml:space="preserve">local </w:t>
      </w:r>
      <w:r>
        <w:rPr>
          <w:rFonts w:ascii="Arial" w:hAnsi="Arial" w:cs="Arial"/>
          <w:iCs/>
          <w:color w:val="000000"/>
        </w:rPr>
        <w:t xml:space="preserve">contract </w:t>
      </w:r>
      <w:r w:rsidR="00B405D5">
        <w:rPr>
          <w:rFonts w:ascii="Arial" w:hAnsi="Arial" w:cs="Arial"/>
          <w:iCs/>
          <w:color w:val="000000"/>
        </w:rPr>
        <w:t xml:space="preserve">or national agreement </w:t>
      </w:r>
      <w:r w:rsidR="007E3E08">
        <w:rPr>
          <w:rFonts w:ascii="Arial" w:hAnsi="Arial" w:cs="Arial"/>
          <w:iCs/>
          <w:color w:val="000000"/>
        </w:rPr>
        <w:t xml:space="preserve">between the provider and the Trust. A senior manager has been identified to act as a lead person (Information Asset Owner) for each contract with responsibility for ensuring that your information is managed in a </w:t>
      </w:r>
      <w:r w:rsidR="007E3E08" w:rsidRPr="007E3E08">
        <w:rPr>
          <w:rFonts w:ascii="Arial" w:hAnsi="Arial" w:cs="Arial"/>
          <w:iCs/>
          <w:color w:val="000000"/>
        </w:rPr>
        <w:t>fair and lawful manner</w:t>
      </w:r>
      <w:r w:rsidR="007E3E08">
        <w:rPr>
          <w:rFonts w:ascii="Arial" w:hAnsi="Arial" w:cs="Arial"/>
          <w:iCs/>
          <w:color w:val="000000"/>
        </w:rPr>
        <w:t xml:space="preserve">. </w:t>
      </w:r>
    </w:p>
    <w:p w:rsidR="00407F43" w:rsidRDefault="0036306C" w:rsidP="00EC158F">
      <w:pPr>
        <w:autoSpaceDE w:val="0"/>
        <w:autoSpaceDN w:val="0"/>
        <w:adjustRightInd w:val="0"/>
        <w:spacing w:before="240" w:after="240" w:line="240" w:lineRule="auto"/>
        <w:rPr>
          <w:rFonts w:ascii="Arial" w:hAnsi="Arial" w:cs="Arial"/>
          <w:iCs/>
          <w:color w:val="000000"/>
        </w:rPr>
      </w:pPr>
      <w:r>
        <w:rPr>
          <w:rFonts w:ascii="Arial" w:hAnsi="Arial" w:cs="Arial"/>
          <w:iCs/>
          <w:color w:val="000000"/>
        </w:rPr>
        <w:t xml:space="preserve">The list of organisations will change and </w:t>
      </w:r>
      <w:r w:rsidR="007E3E08">
        <w:rPr>
          <w:rFonts w:ascii="Arial" w:hAnsi="Arial" w:cs="Arial"/>
          <w:iCs/>
          <w:color w:val="000000"/>
        </w:rPr>
        <w:t xml:space="preserve">processes are in place to </w:t>
      </w:r>
      <w:r>
        <w:rPr>
          <w:rFonts w:ascii="Arial" w:hAnsi="Arial" w:cs="Arial"/>
          <w:iCs/>
          <w:color w:val="000000"/>
        </w:rPr>
        <w:t xml:space="preserve">ensure that these organisations </w:t>
      </w:r>
      <w:r w:rsidR="00794F22">
        <w:rPr>
          <w:rFonts w:ascii="Arial" w:hAnsi="Arial" w:cs="Arial"/>
          <w:iCs/>
          <w:color w:val="000000"/>
        </w:rPr>
        <w:t xml:space="preserve">are recorded and that they </w:t>
      </w:r>
      <w:r>
        <w:rPr>
          <w:rFonts w:ascii="Arial" w:hAnsi="Arial" w:cs="Arial"/>
          <w:iCs/>
          <w:color w:val="000000"/>
        </w:rPr>
        <w:t xml:space="preserve">fully comply with their legal obligations to manage your information throughout its lifecycle. </w:t>
      </w:r>
    </w:p>
    <w:p w:rsidR="00D85B5B" w:rsidRPr="00D85B5B" w:rsidRDefault="00D85B5B" w:rsidP="00D85B5B">
      <w:pPr>
        <w:autoSpaceDE w:val="0"/>
        <w:autoSpaceDN w:val="0"/>
        <w:adjustRightInd w:val="0"/>
        <w:spacing w:before="240" w:after="240" w:line="240" w:lineRule="auto"/>
        <w:rPr>
          <w:rFonts w:ascii="Arial" w:hAnsi="Arial" w:cs="Arial"/>
          <w:iCs/>
          <w:color w:val="000000"/>
        </w:rPr>
      </w:pPr>
      <w:r w:rsidRPr="00D85B5B">
        <w:rPr>
          <w:rFonts w:ascii="Arial" w:hAnsi="Arial" w:cs="Arial"/>
          <w:iCs/>
          <w:color w:val="000000"/>
        </w:rPr>
        <w:t>On commencement of employment with the Trust, your personal data will be uploaded to the Electronic Staff Record (ESR).  ESR is a workforce solution for the NHS which is used by the Trust to effectively manage the workforce leading to improved efficiency and improved patient safety.</w:t>
      </w:r>
    </w:p>
    <w:p w:rsidR="00D85B5B" w:rsidRPr="00D85B5B" w:rsidRDefault="00B405D5" w:rsidP="00D85B5B">
      <w:pPr>
        <w:autoSpaceDE w:val="0"/>
        <w:autoSpaceDN w:val="0"/>
        <w:adjustRightInd w:val="0"/>
        <w:spacing w:before="240" w:after="240" w:line="240" w:lineRule="auto"/>
        <w:rPr>
          <w:rFonts w:ascii="Arial" w:hAnsi="Arial" w:cs="Arial"/>
          <w:iCs/>
          <w:color w:val="000000"/>
        </w:rPr>
      </w:pPr>
      <w:r>
        <w:rPr>
          <w:rFonts w:ascii="Arial" w:hAnsi="Arial" w:cs="Arial"/>
          <w:iCs/>
          <w:color w:val="000000"/>
        </w:rPr>
        <w:t xml:space="preserve">Streamlining - </w:t>
      </w:r>
      <w:r w:rsidR="00D85B5B" w:rsidRPr="00D85B5B">
        <w:rPr>
          <w:rFonts w:ascii="Arial" w:hAnsi="Arial" w:cs="Arial"/>
          <w:iCs/>
          <w:color w:val="000000"/>
        </w:rPr>
        <w:t>In accepting employment with the Trust, you accept that the personal data will be transferred under the streamlining programme if your employment transfers to another NHS organisation:</w:t>
      </w:r>
    </w:p>
    <w:p w:rsidR="00D85B5B" w:rsidRDefault="00D85B5B" w:rsidP="00EC158F">
      <w:pPr>
        <w:autoSpaceDE w:val="0"/>
        <w:autoSpaceDN w:val="0"/>
        <w:adjustRightInd w:val="0"/>
        <w:spacing w:before="240" w:after="240" w:line="240" w:lineRule="auto"/>
        <w:rPr>
          <w:rFonts w:ascii="Arial" w:hAnsi="Arial" w:cs="Arial"/>
          <w:iCs/>
          <w:color w:val="000000" w:themeColor="text1"/>
        </w:rPr>
      </w:pPr>
      <w:r w:rsidRPr="00D85B5B">
        <w:rPr>
          <w:rFonts w:ascii="Arial" w:hAnsi="Arial" w:cs="Arial"/>
          <w:iCs/>
          <w:color w:val="000000"/>
        </w:rPr>
        <w:t>Streamlining is the process by which certain personal data is transferred from one NHS organisation to another when your employment transfers. NHS organisations have a legitimate interest in processing your data in this way in establishing the employment of a suitable workforce. The streamlining programme is a data sharing arrangement which is aimed at improving efficiencies within the NHS both to make costs savings for Trusts but also to save you time when your employment transfers</w:t>
      </w:r>
      <w:r w:rsidR="00DC09AB">
        <w:rPr>
          <w:rFonts w:ascii="Arial" w:hAnsi="Arial" w:cs="Arial"/>
          <w:iCs/>
          <w:color w:val="000000"/>
        </w:rPr>
        <w:t xml:space="preserve"> </w:t>
      </w:r>
      <w:r w:rsidR="00DC09AB" w:rsidRPr="0039026A">
        <w:rPr>
          <w:rFonts w:ascii="Arial" w:hAnsi="Arial" w:cs="Arial"/>
          <w:iCs/>
          <w:color w:val="000000" w:themeColor="text1"/>
        </w:rPr>
        <w:t>to another NHS organisation.</w:t>
      </w:r>
    </w:p>
    <w:p w:rsidR="00B02494" w:rsidRDefault="00B02494" w:rsidP="00EC158F">
      <w:pPr>
        <w:autoSpaceDE w:val="0"/>
        <w:autoSpaceDN w:val="0"/>
        <w:adjustRightInd w:val="0"/>
        <w:spacing w:before="240" w:after="240" w:line="240" w:lineRule="auto"/>
        <w:rPr>
          <w:rFonts w:ascii="Arial" w:hAnsi="Arial" w:cs="Arial"/>
          <w:iCs/>
          <w:color w:val="000000" w:themeColor="text1"/>
        </w:rPr>
      </w:pPr>
    </w:p>
    <w:p w:rsidR="00B02494" w:rsidRPr="0039026A" w:rsidRDefault="00B02494" w:rsidP="00EC158F">
      <w:pPr>
        <w:autoSpaceDE w:val="0"/>
        <w:autoSpaceDN w:val="0"/>
        <w:adjustRightInd w:val="0"/>
        <w:spacing w:before="240" w:after="240" w:line="240" w:lineRule="auto"/>
        <w:rPr>
          <w:rFonts w:ascii="Arial" w:hAnsi="Arial" w:cs="Arial"/>
          <w:iCs/>
          <w:color w:val="000000" w:themeColor="text1"/>
        </w:rPr>
      </w:pPr>
    </w:p>
    <w:p w:rsidR="00943CA8" w:rsidRPr="00943CA8" w:rsidRDefault="00F6017B" w:rsidP="00943CA8">
      <w:pPr>
        <w:pStyle w:val="Default"/>
        <w:rPr>
          <w:b/>
          <w:i/>
          <w:iCs/>
          <w:sz w:val="22"/>
          <w:szCs w:val="22"/>
        </w:rPr>
      </w:pPr>
      <w:r>
        <w:rPr>
          <w:b/>
          <w:i/>
          <w:iCs/>
          <w:sz w:val="22"/>
          <w:szCs w:val="22"/>
        </w:rPr>
        <w:lastRenderedPageBreak/>
        <w:t>9.</w:t>
      </w:r>
      <w:r>
        <w:rPr>
          <w:b/>
          <w:i/>
          <w:iCs/>
          <w:sz w:val="22"/>
          <w:szCs w:val="22"/>
        </w:rPr>
        <w:tab/>
      </w:r>
      <w:r w:rsidR="00943CA8" w:rsidRPr="00EC158F">
        <w:rPr>
          <w:b/>
          <w:iCs/>
          <w:sz w:val="22"/>
          <w:szCs w:val="22"/>
        </w:rPr>
        <w:t>Prevention and Detection of Crime and Fraud</w:t>
      </w:r>
    </w:p>
    <w:p w:rsidR="00943CA8" w:rsidRDefault="00943CA8" w:rsidP="00943CA8">
      <w:pPr>
        <w:pStyle w:val="Default"/>
        <w:rPr>
          <w:sz w:val="20"/>
          <w:szCs w:val="20"/>
        </w:rPr>
      </w:pPr>
    </w:p>
    <w:p w:rsidR="00943CA8" w:rsidRPr="00943CA8" w:rsidRDefault="00943CA8" w:rsidP="00943CA8">
      <w:pPr>
        <w:pStyle w:val="Default"/>
        <w:rPr>
          <w:iCs/>
          <w:sz w:val="22"/>
          <w:szCs w:val="22"/>
        </w:rPr>
      </w:pPr>
      <w:r w:rsidRPr="00943CA8">
        <w:rPr>
          <w:iCs/>
          <w:sz w:val="22"/>
          <w:szCs w:val="22"/>
        </w:rPr>
        <w:t xml:space="preserve">We may use the information we hold about you to detect and prevent crime or fraud. We may also share this information with other bodies that inspect and manage public funds. </w:t>
      </w:r>
    </w:p>
    <w:p w:rsidR="00943CA8" w:rsidRPr="00943CA8" w:rsidRDefault="00943CA8" w:rsidP="00943CA8">
      <w:pPr>
        <w:pStyle w:val="Default"/>
        <w:rPr>
          <w:iCs/>
          <w:sz w:val="22"/>
          <w:szCs w:val="22"/>
        </w:rPr>
      </w:pPr>
    </w:p>
    <w:p w:rsidR="008373E1" w:rsidRDefault="00943CA8" w:rsidP="00382195">
      <w:pPr>
        <w:pStyle w:val="Default"/>
        <w:rPr>
          <w:iCs/>
          <w:sz w:val="22"/>
          <w:szCs w:val="22"/>
        </w:rPr>
      </w:pPr>
      <w:r w:rsidRPr="00943CA8">
        <w:rPr>
          <w:iCs/>
          <w:sz w:val="22"/>
          <w:szCs w:val="22"/>
        </w:rPr>
        <w:t>We will not routinely disclose any information about you without your express permission. However, there are circumstances where we must or can share information about you owing to a legal/statutory obligation.</w:t>
      </w:r>
    </w:p>
    <w:p w:rsidR="008373E1" w:rsidRPr="008373E1" w:rsidRDefault="008373E1" w:rsidP="008373E1">
      <w:pPr>
        <w:autoSpaceDE w:val="0"/>
        <w:autoSpaceDN w:val="0"/>
        <w:adjustRightInd w:val="0"/>
        <w:spacing w:before="240" w:after="240" w:line="240" w:lineRule="auto"/>
        <w:rPr>
          <w:rFonts w:ascii="Arial" w:hAnsi="Arial" w:cs="Arial"/>
          <w:b/>
          <w:iCs/>
          <w:color w:val="000000"/>
        </w:rPr>
      </w:pPr>
      <w:r w:rsidRPr="008373E1">
        <w:rPr>
          <w:rFonts w:ascii="Arial" w:hAnsi="Arial" w:cs="Arial"/>
          <w:b/>
          <w:iCs/>
          <w:color w:val="000000"/>
        </w:rPr>
        <w:t>10.</w:t>
      </w:r>
      <w:r w:rsidRPr="008373E1">
        <w:rPr>
          <w:rFonts w:ascii="Arial" w:hAnsi="Arial" w:cs="Arial"/>
          <w:iCs/>
          <w:color w:val="000000"/>
        </w:rPr>
        <w:tab/>
      </w:r>
      <w:r w:rsidRPr="008373E1">
        <w:rPr>
          <w:rFonts w:ascii="Arial" w:hAnsi="Arial" w:cs="Arial"/>
          <w:b/>
          <w:iCs/>
          <w:color w:val="000000"/>
        </w:rPr>
        <w:t>Individuals Rights</w:t>
      </w:r>
    </w:p>
    <w:p w:rsidR="008373E1" w:rsidRPr="008373E1" w:rsidRDefault="008373E1" w:rsidP="008373E1">
      <w:pPr>
        <w:autoSpaceDE w:val="0"/>
        <w:autoSpaceDN w:val="0"/>
        <w:adjustRightInd w:val="0"/>
        <w:spacing w:before="240" w:after="240" w:line="241" w:lineRule="atLeast"/>
        <w:rPr>
          <w:rFonts w:ascii="Arial" w:hAnsi="Arial" w:cs="Arial"/>
          <w:color w:val="000000"/>
        </w:rPr>
      </w:pPr>
      <w:r w:rsidRPr="008373E1">
        <w:rPr>
          <w:rFonts w:ascii="Arial" w:hAnsi="Arial" w:cs="Arial"/>
          <w:color w:val="000000"/>
        </w:rPr>
        <w:t xml:space="preserve">Data Protection laws give individuals rights in respect of the personal information that we hold about you.  </w:t>
      </w:r>
    </w:p>
    <w:p w:rsidR="008373E1" w:rsidRPr="008373E1" w:rsidRDefault="008373E1" w:rsidP="008373E1">
      <w:pPr>
        <w:spacing w:line="240" w:lineRule="auto"/>
        <w:rPr>
          <w:rFonts w:ascii="Arial" w:eastAsia="Calibri" w:hAnsi="Arial" w:cs="Arial"/>
          <w:color w:val="000000"/>
        </w:rPr>
      </w:pPr>
      <w:r w:rsidRPr="008373E1">
        <w:rPr>
          <w:rFonts w:ascii="Arial" w:eastAsia="Calibri" w:hAnsi="Arial" w:cs="Arial"/>
          <w:color w:val="000000"/>
        </w:rPr>
        <w:t xml:space="preserve">Anyone including patients, staff, visitors or contractors who has personal information recorded by the Trust either directly or indirectly has specific rights under current and future legislation. These include: </w:t>
      </w:r>
    </w:p>
    <w:p w:rsidR="008373E1" w:rsidRPr="008373E1" w:rsidRDefault="008373E1" w:rsidP="008373E1">
      <w:pPr>
        <w:spacing w:line="240" w:lineRule="auto"/>
        <w:rPr>
          <w:rFonts w:ascii="Arial" w:eastAsia="Calibri" w:hAnsi="Arial" w:cs="Arial"/>
          <w:color w:val="000000"/>
        </w:rPr>
      </w:pPr>
      <w:r w:rsidRPr="008373E1">
        <w:rPr>
          <w:rFonts w:ascii="Arial" w:eastAsia="Calibri" w:hAnsi="Arial" w:cs="Arial"/>
          <w:b/>
          <w:color w:val="000000"/>
        </w:rPr>
        <w:t>10.1</w:t>
      </w:r>
      <w:r w:rsidRPr="008373E1">
        <w:rPr>
          <w:rFonts w:ascii="Arial" w:eastAsia="Calibri" w:hAnsi="Arial" w:cs="Arial"/>
          <w:color w:val="000000"/>
        </w:rPr>
        <w:tab/>
        <w:t>Under the Data Protection Act - 6th Principle:</w:t>
      </w:r>
    </w:p>
    <w:p w:rsidR="008373E1" w:rsidRPr="008373E1" w:rsidRDefault="008373E1" w:rsidP="008373E1">
      <w:pPr>
        <w:numPr>
          <w:ilvl w:val="0"/>
          <w:numId w:val="21"/>
        </w:numPr>
        <w:spacing w:line="240" w:lineRule="auto"/>
        <w:rPr>
          <w:rFonts w:ascii="Arial" w:eastAsia="Calibri" w:hAnsi="Arial" w:cs="Arial"/>
          <w:color w:val="000000"/>
        </w:rPr>
      </w:pPr>
      <w:r w:rsidRPr="008373E1">
        <w:rPr>
          <w:rFonts w:ascii="Arial" w:eastAsia="Calibri" w:hAnsi="Arial" w:cs="Arial"/>
          <w:color w:val="000000"/>
        </w:rPr>
        <w:t>a right of access to a copy of their personal data;</w:t>
      </w:r>
    </w:p>
    <w:p w:rsidR="008373E1" w:rsidRPr="008373E1" w:rsidRDefault="008373E1" w:rsidP="008373E1">
      <w:pPr>
        <w:numPr>
          <w:ilvl w:val="0"/>
          <w:numId w:val="21"/>
        </w:numPr>
        <w:spacing w:line="240" w:lineRule="auto"/>
        <w:rPr>
          <w:rFonts w:ascii="Arial" w:eastAsia="Calibri" w:hAnsi="Arial" w:cs="Arial"/>
          <w:color w:val="000000"/>
        </w:rPr>
      </w:pPr>
      <w:r w:rsidRPr="008373E1">
        <w:rPr>
          <w:rFonts w:ascii="Arial" w:eastAsia="Calibri" w:hAnsi="Arial" w:cs="Arial"/>
          <w:color w:val="000000"/>
        </w:rPr>
        <w:t>a right to object to processing that is likely to cause or is causing damage or distress;</w:t>
      </w:r>
    </w:p>
    <w:p w:rsidR="008373E1" w:rsidRPr="008373E1" w:rsidRDefault="008373E1" w:rsidP="008373E1">
      <w:pPr>
        <w:numPr>
          <w:ilvl w:val="0"/>
          <w:numId w:val="21"/>
        </w:numPr>
        <w:spacing w:line="240" w:lineRule="auto"/>
        <w:rPr>
          <w:rFonts w:ascii="Arial" w:eastAsia="Calibri" w:hAnsi="Arial" w:cs="Arial"/>
          <w:color w:val="000000"/>
        </w:rPr>
      </w:pPr>
      <w:r w:rsidRPr="008373E1">
        <w:rPr>
          <w:rFonts w:ascii="Arial" w:eastAsia="Calibri" w:hAnsi="Arial" w:cs="Arial"/>
          <w:color w:val="000000"/>
        </w:rPr>
        <w:t>a right to object to decisions being taken by automated means;</w:t>
      </w:r>
    </w:p>
    <w:p w:rsidR="008373E1" w:rsidRPr="008373E1" w:rsidRDefault="008373E1" w:rsidP="008373E1">
      <w:pPr>
        <w:numPr>
          <w:ilvl w:val="0"/>
          <w:numId w:val="21"/>
        </w:numPr>
        <w:spacing w:line="240" w:lineRule="auto"/>
        <w:rPr>
          <w:rFonts w:ascii="Arial" w:eastAsia="Calibri" w:hAnsi="Arial" w:cs="Arial"/>
          <w:color w:val="000000"/>
        </w:rPr>
      </w:pPr>
      <w:r w:rsidRPr="008373E1">
        <w:rPr>
          <w:rFonts w:ascii="Arial" w:eastAsia="Calibri" w:hAnsi="Arial" w:cs="Arial"/>
          <w:color w:val="000000"/>
        </w:rPr>
        <w:t>a right in certain circumstances to have inaccurate personal data rectified, blocked, erased or destroyed; and</w:t>
      </w:r>
    </w:p>
    <w:p w:rsidR="008373E1" w:rsidRPr="008373E1" w:rsidRDefault="00837635" w:rsidP="008373E1">
      <w:pPr>
        <w:numPr>
          <w:ilvl w:val="0"/>
          <w:numId w:val="21"/>
        </w:numPr>
        <w:spacing w:line="240" w:lineRule="auto"/>
        <w:rPr>
          <w:rFonts w:ascii="Arial" w:eastAsia="Calibri" w:hAnsi="Arial" w:cs="Arial"/>
          <w:color w:val="000000"/>
        </w:rPr>
      </w:pPr>
      <w:r w:rsidRPr="008373E1">
        <w:rPr>
          <w:rFonts w:ascii="Arial" w:eastAsia="Calibri" w:hAnsi="Arial" w:cs="Arial"/>
          <w:color w:val="000000"/>
        </w:rPr>
        <w:t>A</w:t>
      </w:r>
      <w:r w:rsidR="008373E1" w:rsidRPr="008373E1">
        <w:rPr>
          <w:rFonts w:ascii="Arial" w:eastAsia="Calibri" w:hAnsi="Arial" w:cs="Arial"/>
          <w:color w:val="000000"/>
        </w:rPr>
        <w:t xml:space="preserve"> right to claim compensation for damages caused by a breach of the Act.</w:t>
      </w:r>
    </w:p>
    <w:p w:rsidR="008373E1" w:rsidRPr="008373E1" w:rsidRDefault="008373E1" w:rsidP="008373E1">
      <w:pPr>
        <w:spacing w:line="240" w:lineRule="auto"/>
        <w:rPr>
          <w:rFonts w:ascii="Arial" w:eastAsia="Calibri" w:hAnsi="Arial" w:cs="Arial"/>
          <w:color w:val="000000"/>
        </w:rPr>
      </w:pPr>
      <w:r w:rsidRPr="008373E1">
        <w:rPr>
          <w:rFonts w:ascii="Arial" w:eastAsia="Calibri" w:hAnsi="Arial" w:cs="Arial"/>
          <w:b/>
          <w:color w:val="000000"/>
        </w:rPr>
        <w:t>10.2</w:t>
      </w:r>
      <w:r w:rsidRPr="008373E1">
        <w:rPr>
          <w:rFonts w:ascii="Arial" w:eastAsia="Calibri" w:hAnsi="Arial" w:cs="Arial"/>
          <w:color w:val="000000"/>
        </w:rPr>
        <w:tab/>
        <w:t>Under the General Data Protection Regulation (GDPR)</w:t>
      </w:r>
    </w:p>
    <w:p w:rsidR="008373E1" w:rsidRPr="008373E1" w:rsidRDefault="008373E1" w:rsidP="008373E1">
      <w:pPr>
        <w:numPr>
          <w:ilvl w:val="0"/>
          <w:numId w:val="22"/>
        </w:numPr>
        <w:spacing w:line="240" w:lineRule="auto"/>
        <w:rPr>
          <w:rFonts w:ascii="Arial" w:eastAsia="Calibri" w:hAnsi="Arial" w:cs="Arial"/>
          <w:color w:val="000000"/>
        </w:rPr>
      </w:pPr>
      <w:r w:rsidRPr="008373E1">
        <w:rPr>
          <w:rFonts w:ascii="Arial" w:eastAsia="Calibri" w:hAnsi="Arial" w:cs="Arial"/>
          <w:color w:val="000000"/>
        </w:rPr>
        <w:t>a right to confirmation that their personal data is being processed and access to a copy of that data which in most cases will be free of charge and will be available within one month (which can be extended to two months in some circumstances)</w:t>
      </w:r>
      <w:r w:rsidR="00837635">
        <w:rPr>
          <w:rFonts w:ascii="Arial" w:eastAsia="Calibri" w:hAnsi="Arial" w:cs="Arial"/>
          <w:color w:val="000000"/>
        </w:rPr>
        <w:t>;</w:t>
      </w:r>
    </w:p>
    <w:p w:rsidR="008373E1" w:rsidRPr="008373E1" w:rsidRDefault="008373E1" w:rsidP="008373E1">
      <w:pPr>
        <w:numPr>
          <w:ilvl w:val="0"/>
          <w:numId w:val="22"/>
        </w:numPr>
        <w:spacing w:line="240" w:lineRule="auto"/>
        <w:rPr>
          <w:rFonts w:ascii="Arial" w:eastAsia="Calibri" w:hAnsi="Arial" w:cs="Arial"/>
          <w:color w:val="000000"/>
        </w:rPr>
      </w:pPr>
      <w:r w:rsidRPr="008373E1">
        <w:rPr>
          <w:rFonts w:ascii="Arial" w:eastAsia="Calibri" w:hAnsi="Arial" w:cs="Arial"/>
          <w:color w:val="000000"/>
        </w:rPr>
        <w:t>Who that data has or will be disclosed to;</w:t>
      </w:r>
    </w:p>
    <w:p w:rsidR="008373E1" w:rsidRPr="008373E1" w:rsidRDefault="008373E1" w:rsidP="008373E1">
      <w:pPr>
        <w:numPr>
          <w:ilvl w:val="0"/>
          <w:numId w:val="22"/>
        </w:numPr>
        <w:spacing w:line="240" w:lineRule="auto"/>
        <w:rPr>
          <w:rFonts w:ascii="Arial" w:eastAsia="Calibri" w:hAnsi="Arial" w:cs="Arial"/>
          <w:color w:val="000000"/>
        </w:rPr>
      </w:pPr>
      <w:r w:rsidRPr="008373E1">
        <w:rPr>
          <w:rFonts w:ascii="Arial" w:eastAsia="Calibri" w:hAnsi="Arial" w:cs="Arial"/>
          <w:color w:val="000000"/>
        </w:rPr>
        <w:t>The period of time the data will be stored for;</w:t>
      </w:r>
    </w:p>
    <w:p w:rsidR="008373E1" w:rsidRPr="008373E1" w:rsidRDefault="00837635" w:rsidP="008373E1">
      <w:pPr>
        <w:numPr>
          <w:ilvl w:val="0"/>
          <w:numId w:val="22"/>
        </w:numPr>
        <w:spacing w:line="240" w:lineRule="auto"/>
        <w:rPr>
          <w:rFonts w:ascii="Arial" w:eastAsia="Calibri" w:hAnsi="Arial" w:cs="Arial"/>
          <w:color w:val="000000"/>
        </w:rPr>
      </w:pPr>
      <w:r w:rsidRPr="008373E1">
        <w:rPr>
          <w:rFonts w:ascii="Arial" w:eastAsia="Calibri" w:hAnsi="Arial" w:cs="Arial"/>
          <w:color w:val="000000"/>
        </w:rPr>
        <w:t>A</w:t>
      </w:r>
      <w:r w:rsidR="008373E1" w:rsidRPr="008373E1">
        <w:rPr>
          <w:rFonts w:ascii="Arial" w:eastAsia="Calibri" w:hAnsi="Arial" w:cs="Arial"/>
          <w:color w:val="000000"/>
        </w:rPr>
        <w:t xml:space="preserve"> right in certain circumstances to have inaccurate personal data rectified, blocked, erased or destroyed. The right to be forgotten and erasure of data does not apply to an individual’s health record or for public health purposes</w:t>
      </w:r>
      <w:r w:rsidR="00DC09AB">
        <w:rPr>
          <w:rFonts w:ascii="Arial" w:eastAsia="Calibri" w:hAnsi="Arial" w:cs="Arial"/>
          <w:color w:val="000000"/>
        </w:rPr>
        <w:t>;</w:t>
      </w:r>
    </w:p>
    <w:p w:rsidR="008373E1" w:rsidRPr="008373E1" w:rsidRDefault="008373E1" w:rsidP="008373E1">
      <w:pPr>
        <w:numPr>
          <w:ilvl w:val="0"/>
          <w:numId w:val="22"/>
        </w:numPr>
        <w:spacing w:line="240" w:lineRule="auto"/>
        <w:rPr>
          <w:rFonts w:ascii="Arial" w:eastAsia="Calibri" w:hAnsi="Arial" w:cs="Arial"/>
          <w:color w:val="000000"/>
        </w:rPr>
      </w:pPr>
      <w:r w:rsidRPr="008373E1">
        <w:rPr>
          <w:rFonts w:ascii="Arial" w:eastAsia="Calibri" w:hAnsi="Arial" w:cs="Arial"/>
          <w:color w:val="000000"/>
        </w:rPr>
        <w:t>Data Portability – data provided electronically in a commonly used format;</w:t>
      </w:r>
    </w:p>
    <w:p w:rsidR="008373E1" w:rsidRPr="008373E1" w:rsidRDefault="008373E1" w:rsidP="008373E1">
      <w:pPr>
        <w:numPr>
          <w:ilvl w:val="0"/>
          <w:numId w:val="22"/>
        </w:numPr>
        <w:spacing w:line="240" w:lineRule="auto"/>
        <w:contextualSpacing/>
        <w:rPr>
          <w:rFonts w:ascii="Arial" w:eastAsia="Calibri" w:hAnsi="Arial" w:cs="Arial"/>
          <w:color w:val="000000"/>
        </w:rPr>
      </w:pPr>
      <w:r w:rsidRPr="008373E1">
        <w:rPr>
          <w:rFonts w:ascii="Arial" w:eastAsia="Calibri" w:hAnsi="Arial" w:cs="Arial"/>
          <w:color w:val="000000"/>
        </w:rPr>
        <w:t>The right to lodge a complaint with a supervising authority.</w:t>
      </w:r>
    </w:p>
    <w:p w:rsidR="008373E1" w:rsidRDefault="008373E1" w:rsidP="008373E1">
      <w:pPr>
        <w:autoSpaceDE w:val="0"/>
        <w:autoSpaceDN w:val="0"/>
        <w:adjustRightInd w:val="0"/>
        <w:spacing w:before="240" w:after="240" w:line="241" w:lineRule="atLeast"/>
        <w:rPr>
          <w:rFonts w:ascii="Arial" w:hAnsi="Arial" w:cs="Arial"/>
          <w:color w:val="000000"/>
        </w:rPr>
      </w:pPr>
    </w:p>
    <w:p w:rsidR="008373E1" w:rsidRPr="008373E1" w:rsidRDefault="008373E1" w:rsidP="008373E1">
      <w:pPr>
        <w:autoSpaceDE w:val="0"/>
        <w:autoSpaceDN w:val="0"/>
        <w:adjustRightInd w:val="0"/>
        <w:spacing w:before="240" w:after="240" w:line="241" w:lineRule="atLeast"/>
        <w:rPr>
          <w:rFonts w:ascii="Arial" w:hAnsi="Arial" w:cs="Arial"/>
          <w:color w:val="000000"/>
        </w:rPr>
      </w:pPr>
      <w:r w:rsidRPr="008373E1">
        <w:rPr>
          <w:rFonts w:ascii="Arial" w:hAnsi="Arial" w:cs="Arial"/>
          <w:color w:val="000000"/>
        </w:rPr>
        <w:t xml:space="preserve">Please visit the Trust website for further details on this.  Should you have any further queries on the uses of your information, please speak to </w:t>
      </w:r>
      <w:r w:rsidR="00837635">
        <w:rPr>
          <w:rFonts w:ascii="Arial" w:hAnsi="Arial" w:cs="Arial"/>
          <w:color w:val="000000"/>
        </w:rPr>
        <w:t>the Trust</w:t>
      </w:r>
      <w:r w:rsidRPr="008373E1">
        <w:rPr>
          <w:rFonts w:ascii="Arial" w:hAnsi="Arial" w:cs="Arial"/>
          <w:color w:val="000000"/>
        </w:rPr>
        <w:t xml:space="preserve"> Data Protection Officer (</w:t>
      </w:r>
      <w:hyperlink r:id="rId10" w:history="1">
        <w:r w:rsidRPr="008373E1">
          <w:rPr>
            <w:rFonts w:ascii="Arial" w:eastAsia="Calibri" w:hAnsi="Arial" w:cs="Arial"/>
            <w:color w:val="0000FF"/>
            <w:u w:val="single"/>
          </w:rPr>
          <w:t>dataprotectionofficer@bthft.nhs.uk</w:t>
        </w:r>
      </w:hyperlink>
      <w:r w:rsidRPr="008373E1">
        <w:rPr>
          <w:rFonts w:ascii="Arial" w:hAnsi="Arial" w:cs="Arial"/>
          <w:color w:val="000000"/>
        </w:rPr>
        <w:t>) or the Information Governance Team (</w:t>
      </w:r>
      <w:hyperlink r:id="rId11" w:history="1">
        <w:r w:rsidRPr="008373E1">
          <w:rPr>
            <w:rFonts w:ascii="Arial" w:hAnsi="Arial" w:cs="Arial"/>
            <w:color w:val="0000FF"/>
            <w:u w:val="single"/>
          </w:rPr>
          <w:t>Information.Governance@bthft.nhs.uk</w:t>
        </w:r>
      </w:hyperlink>
      <w:r w:rsidRPr="008373E1">
        <w:rPr>
          <w:rFonts w:ascii="Arial" w:hAnsi="Arial" w:cs="Arial"/>
          <w:color w:val="000000"/>
        </w:rPr>
        <w:t xml:space="preserve">). </w:t>
      </w:r>
    </w:p>
    <w:p w:rsidR="008373E1" w:rsidRPr="008373E1" w:rsidRDefault="008373E1" w:rsidP="008373E1">
      <w:pPr>
        <w:pStyle w:val="Default"/>
        <w:rPr>
          <w:iCs/>
          <w:sz w:val="22"/>
          <w:szCs w:val="22"/>
        </w:rPr>
      </w:pPr>
      <w:r w:rsidRPr="00A37573">
        <w:rPr>
          <w:sz w:val="22"/>
          <w:szCs w:val="22"/>
        </w:rPr>
        <w:t>If you are still unhappy with the outcome of your enquiry you can write to:  The Information Commissioner, Wycliffe House, Water Lane, Wilmslow, Cheshire SK9 5AF - Telephone: 01625 545700</w:t>
      </w:r>
    </w:p>
    <w:p w:rsidR="006F70AD" w:rsidRPr="006F70AD" w:rsidRDefault="006F70AD" w:rsidP="00EC158F">
      <w:pPr>
        <w:pStyle w:val="Pa1"/>
        <w:spacing w:before="240" w:after="240"/>
        <w:jc w:val="both"/>
      </w:pPr>
    </w:p>
    <w:sectPr w:rsidR="006F70AD" w:rsidRPr="006F70AD" w:rsidSect="00EC158F">
      <w:headerReference w:type="default" r:id="rId12"/>
      <w:footerReference w:type="default" r:id="rId13"/>
      <w:pgSz w:w="11905" w:h="17337"/>
      <w:pgMar w:top="284" w:right="900" w:bottom="0"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8FC" w:rsidRDefault="002538FC" w:rsidP="00B10E50">
      <w:pPr>
        <w:spacing w:after="0" w:line="240" w:lineRule="auto"/>
      </w:pPr>
      <w:r>
        <w:separator/>
      </w:r>
    </w:p>
  </w:endnote>
  <w:endnote w:type="continuationSeparator" w:id="0">
    <w:p w:rsidR="002538FC" w:rsidRDefault="002538FC" w:rsidP="00B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923038"/>
      <w:docPartObj>
        <w:docPartGallery w:val="Page Numbers (Bottom of Page)"/>
        <w:docPartUnique/>
      </w:docPartObj>
    </w:sdtPr>
    <w:sdtEndPr>
      <w:rPr>
        <w:noProof/>
      </w:rPr>
    </w:sdtEndPr>
    <w:sdtContent>
      <w:p w:rsidR="00202A80" w:rsidRDefault="00202A80">
        <w:pPr>
          <w:pStyle w:val="Footer"/>
          <w:jc w:val="center"/>
        </w:pPr>
        <w:r>
          <w:fldChar w:fldCharType="begin"/>
        </w:r>
        <w:r>
          <w:instrText xml:space="preserve"> PAGE   \* MERGEFORMAT </w:instrText>
        </w:r>
        <w:r>
          <w:fldChar w:fldCharType="separate"/>
        </w:r>
        <w:r w:rsidR="000B110B">
          <w:rPr>
            <w:noProof/>
          </w:rPr>
          <w:t>1</w:t>
        </w:r>
        <w:r>
          <w:rPr>
            <w:noProof/>
          </w:rPr>
          <w:fldChar w:fldCharType="end"/>
        </w:r>
      </w:p>
    </w:sdtContent>
  </w:sdt>
  <w:p w:rsidR="008715D2" w:rsidRDefault="00202A80">
    <w:pPr>
      <w:pStyle w:val="Footer"/>
    </w:pPr>
    <w:r>
      <w:t xml:space="preserve">Employee Privacy Notice </w:t>
    </w:r>
    <w:r w:rsidR="00B02494">
      <w:t>24</w:t>
    </w:r>
    <w:r>
      <w:t>.05.2018</w:t>
    </w:r>
    <w:r w:rsidR="00837635">
      <w:t xml:space="preserve"> – Approved IGSC 14.05.2018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8FC" w:rsidRDefault="002538FC" w:rsidP="00B10E50">
      <w:pPr>
        <w:spacing w:after="0" w:line="240" w:lineRule="auto"/>
      </w:pPr>
      <w:r>
        <w:separator/>
      </w:r>
    </w:p>
  </w:footnote>
  <w:footnote w:type="continuationSeparator" w:id="0">
    <w:p w:rsidR="002538FC" w:rsidRDefault="002538FC" w:rsidP="00B10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5D2" w:rsidRDefault="008715D2" w:rsidP="008715D2">
    <w:pPr>
      <w:pStyle w:val="Header"/>
      <w:jc w:val="right"/>
    </w:pPr>
  </w:p>
  <w:p w:rsidR="008715D2" w:rsidRDefault="008715D2" w:rsidP="008715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E0086"/>
    <w:multiLevelType w:val="hybridMultilevel"/>
    <w:tmpl w:val="5378BF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E482EF0"/>
    <w:multiLevelType w:val="hybridMultilevel"/>
    <w:tmpl w:val="814C13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825023"/>
    <w:multiLevelType w:val="hybridMultilevel"/>
    <w:tmpl w:val="3D3A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063B74"/>
    <w:multiLevelType w:val="hybridMultilevel"/>
    <w:tmpl w:val="0AE08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EC4FC3"/>
    <w:multiLevelType w:val="hybridMultilevel"/>
    <w:tmpl w:val="7F96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9120E4"/>
    <w:multiLevelType w:val="hybridMultilevel"/>
    <w:tmpl w:val="201A07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2531A9"/>
    <w:multiLevelType w:val="hybridMultilevel"/>
    <w:tmpl w:val="761C72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E779A2"/>
    <w:multiLevelType w:val="hybridMultilevel"/>
    <w:tmpl w:val="17C2C01C"/>
    <w:lvl w:ilvl="0" w:tplc="D7E278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0024964"/>
    <w:multiLevelType w:val="multilevel"/>
    <w:tmpl w:val="681092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2F1E08"/>
    <w:multiLevelType w:val="hybridMultilevel"/>
    <w:tmpl w:val="C18A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F90295"/>
    <w:multiLevelType w:val="hybridMultilevel"/>
    <w:tmpl w:val="61EAD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1313EC"/>
    <w:multiLevelType w:val="hybridMultilevel"/>
    <w:tmpl w:val="F698B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ED5554"/>
    <w:multiLevelType w:val="hybridMultilevel"/>
    <w:tmpl w:val="5EF2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755314"/>
    <w:multiLevelType w:val="multilevel"/>
    <w:tmpl w:val="BE984E6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nsid w:val="6978658D"/>
    <w:multiLevelType w:val="multilevel"/>
    <w:tmpl w:val="3574F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16272C"/>
    <w:multiLevelType w:val="hybridMultilevel"/>
    <w:tmpl w:val="1FA42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2061A57"/>
    <w:multiLevelType w:val="hybridMultilevel"/>
    <w:tmpl w:val="8634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616C39"/>
    <w:multiLevelType w:val="hybridMultilevel"/>
    <w:tmpl w:val="9292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515C00"/>
    <w:multiLevelType w:val="hybridMultilevel"/>
    <w:tmpl w:val="4E18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1769A0"/>
    <w:multiLevelType w:val="hybridMultilevel"/>
    <w:tmpl w:val="0CC07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5"/>
  </w:num>
  <w:num w:numId="5">
    <w:abstractNumId w:val="14"/>
  </w:num>
  <w:num w:numId="6">
    <w:abstractNumId w:val="5"/>
  </w:num>
  <w:num w:numId="7">
    <w:abstractNumId w:val="19"/>
  </w:num>
  <w:num w:numId="8">
    <w:abstractNumId w:val="6"/>
  </w:num>
  <w:num w:numId="9">
    <w:abstractNumId w:val="13"/>
  </w:num>
  <w:num w:numId="10">
    <w:abstractNumId w:val="7"/>
  </w:num>
  <w:num w:numId="11">
    <w:abstractNumId w:val="8"/>
  </w:num>
  <w:num w:numId="12">
    <w:abstractNumId w:val="4"/>
  </w:num>
  <w:num w:numId="13">
    <w:abstractNumId w:val="11"/>
  </w:num>
  <w:num w:numId="14">
    <w:abstractNumId w:val="15"/>
  </w:num>
  <w:num w:numId="15">
    <w:abstractNumId w:val="3"/>
  </w:num>
  <w:num w:numId="16">
    <w:abstractNumId w:val="18"/>
  </w:num>
  <w:num w:numId="17">
    <w:abstractNumId w:val="2"/>
  </w:num>
  <w:num w:numId="18">
    <w:abstractNumId w:val="16"/>
  </w:num>
  <w:num w:numId="19">
    <w:abstractNumId w:val="10"/>
  </w:num>
  <w:num w:numId="20">
    <w:abstractNumId w:val="9"/>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AD"/>
    <w:rsid w:val="00003E29"/>
    <w:rsid w:val="00006131"/>
    <w:rsid w:val="00054EEF"/>
    <w:rsid w:val="00064199"/>
    <w:rsid w:val="000660C4"/>
    <w:rsid w:val="000860F5"/>
    <w:rsid w:val="000B110B"/>
    <w:rsid w:val="000F0655"/>
    <w:rsid w:val="001013AD"/>
    <w:rsid w:val="00147759"/>
    <w:rsid w:val="00166355"/>
    <w:rsid w:val="001C09DD"/>
    <w:rsid w:val="001D58D0"/>
    <w:rsid w:val="00202A80"/>
    <w:rsid w:val="00203CEC"/>
    <w:rsid w:val="002460E6"/>
    <w:rsid w:val="002538FC"/>
    <w:rsid w:val="002639A0"/>
    <w:rsid w:val="002A59FE"/>
    <w:rsid w:val="002E0D55"/>
    <w:rsid w:val="002E76FE"/>
    <w:rsid w:val="002F7975"/>
    <w:rsid w:val="0036306C"/>
    <w:rsid w:val="003733EB"/>
    <w:rsid w:val="00382195"/>
    <w:rsid w:val="003849BF"/>
    <w:rsid w:val="0039026A"/>
    <w:rsid w:val="003F125E"/>
    <w:rsid w:val="00407F43"/>
    <w:rsid w:val="004838E0"/>
    <w:rsid w:val="004920CB"/>
    <w:rsid w:val="004E222D"/>
    <w:rsid w:val="004F1909"/>
    <w:rsid w:val="00540D93"/>
    <w:rsid w:val="00550D07"/>
    <w:rsid w:val="005510F0"/>
    <w:rsid w:val="00573918"/>
    <w:rsid w:val="00586455"/>
    <w:rsid w:val="005B07D6"/>
    <w:rsid w:val="005C28C9"/>
    <w:rsid w:val="005D2BF6"/>
    <w:rsid w:val="005D4ECF"/>
    <w:rsid w:val="005F0DE2"/>
    <w:rsid w:val="006067CC"/>
    <w:rsid w:val="00625DF3"/>
    <w:rsid w:val="006323B6"/>
    <w:rsid w:val="00642626"/>
    <w:rsid w:val="0065656E"/>
    <w:rsid w:val="006879EE"/>
    <w:rsid w:val="006D2192"/>
    <w:rsid w:val="006D5A7E"/>
    <w:rsid w:val="006F70AD"/>
    <w:rsid w:val="00710027"/>
    <w:rsid w:val="00721C3C"/>
    <w:rsid w:val="00726E02"/>
    <w:rsid w:val="007616AB"/>
    <w:rsid w:val="00766C92"/>
    <w:rsid w:val="00794F22"/>
    <w:rsid w:val="007A28B8"/>
    <w:rsid w:val="007C4159"/>
    <w:rsid w:val="007E3E08"/>
    <w:rsid w:val="0080381B"/>
    <w:rsid w:val="008373E1"/>
    <w:rsid w:val="00837635"/>
    <w:rsid w:val="00863ECF"/>
    <w:rsid w:val="0087099B"/>
    <w:rsid w:val="008715D2"/>
    <w:rsid w:val="00883E22"/>
    <w:rsid w:val="00895423"/>
    <w:rsid w:val="0089672F"/>
    <w:rsid w:val="008E2C40"/>
    <w:rsid w:val="009322E8"/>
    <w:rsid w:val="00943CA8"/>
    <w:rsid w:val="009674D1"/>
    <w:rsid w:val="009A399B"/>
    <w:rsid w:val="009E327D"/>
    <w:rsid w:val="00A1795F"/>
    <w:rsid w:val="00A22D86"/>
    <w:rsid w:val="00A37573"/>
    <w:rsid w:val="00A96E64"/>
    <w:rsid w:val="00AC358F"/>
    <w:rsid w:val="00B02494"/>
    <w:rsid w:val="00B10E50"/>
    <w:rsid w:val="00B405D5"/>
    <w:rsid w:val="00B532BB"/>
    <w:rsid w:val="00B76319"/>
    <w:rsid w:val="00B85EEE"/>
    <w:rsid w:val="00BA327E"/>
    <w:rsid w:val="00BD4374"/>
    <w:rsid w:val="00BE5AD7"/>
    <w:rsid w:val="00BF24B0"/>
    <w:rsid w:val="00BF2FC7"/>
    <w:rsid w:val="00C05322"/>
    <w:rsid w:val="00C148A6"/>
    <w:rsid w:val="00CC28A2"/>
    <w:rsid w:val="00D0718A"/>
    <w:rsid w:val="00D85B5B"/>
    <w:rsid w:val="00DA3FD7"/>
    <w:rsid w:val="00DC09AB"/>
    <w:rsid w:val="00DC301E"/>
    <w:rsid w:val="00DE1308"/>
    <w:rsid w:val="00DF07EE"/>
    <w:rsid w:val="00DF3D34"/>
    <w:rsid w:val="00E321EA"/>
    <w:rsid w:val="00E81BD2"/>
    <w:rsid w:val="00EC158F"/>
    <w:rsid w:val="00EF0FAD"/>
    <w:rsid w:val="00F20E81"/>
    <w:rsid w:val="00F541F4"/>
    <w:rsid w:val="00F6017B"/>
    <w:rsid w:val="00F73AF1"/>
    <w:rsid w:val="00F94F15"/>
    <w:rsid w:val="00FA0DB3"/>
    <w:rsid w:val="00FB7DCF"/>
    <w:rsid w:val="00FC7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13AD"/>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unhideWhenUsed/>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E50"/>
  </w:style>
  <w:style w:type="paragraph" w:styleId="Footer">
    <w:name w:val="footer"/>
    <w:basedOn w:val="Normal"/>
    <w:link w:val="FooterChar"/>
    <w:uiPriority w:val="99"/>
    <w:unhideWhenUsed/>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E50"/>
  </w:style>
  <w:style w:type="character" w:styleId="CommentReference">
    <w:name w:val="annotation reference"/>
    <w:basedOn w:val="DefaultParagraphFont"/>
    <w:uiPriority w:val="99"/>
    <w:semiHidden/>
    <w:unhideWhenUsed/>
    <w:rsid w:val="000860F5"/>
    <w:rPr>
      <w:sz w:val="16"/>
      <w:szCs w:val="16"/>
    </w:rPr>
  </w:style>
  <w:style w:type="paragraph" w:styleId="CommentText">
    <w:name w:val="annotation text"/>
    <w:basedOn w:val="Normal"/>
    <w:link w:val="CommentTextChar"/>
    <w:uiPriority w:val="99"/>
    <w:semiHidden/>
    <w:unhideWhenUsed/>
    <w:rsid w:val="000860F5"/>
    <w:pPr>
      <w:spacing w:line="240" w:lineRule="auto"/>
    </w:pPr>
    <w:rPr>
      <w:sz w:val="20"/>
      <w:szCs w:val="20"/>
    </w:rPr>
  </w:style>
  <w:style w:type="character" w:customStyle="1" w:styleId="CommentTextChar">
    <w:name w:val="Comment Text Char"/>
    <w:basedOn w:val="DefaultParagraphFont"/>
    <w:link w:val="CommentText"/>
    <w:uiPriority w:val="99"/>
    <w:semiHidden/>
    <w:rsid w:val="000860F5"/>
    <w:rPr>
      <w:sz w:val="20"/>
      <w:szCs w:val="20"/>
    </w:rPr>
  </w:style>
  <w:style w:type="paragraph" w:styleId="CommentSubject">
    <w:name w:val="annotation subject"/>
    <w:basedOn w:val="CommentText"/>
    <w:next w:val="CommentText"/>
    <w:link w:val="CommentSubjectChar"/>
    <w:uiPriority w:val="99"/>
    <w:semiHidden/>
    <w:unhideWhenUsed/>
    <w:rsid w:val="000860F5"/>
    <w:rPr>
      <w:b/>
      <w:bCs/>
    </w:rPr>
  </w:style>
  <w:style w:type="character" w:customStyle="1" w:styleId="CommentSubjectChar">
    <w:name w:val="Comment Subject Char"/>
    <w:basedOn w:val="CommentTextChar"/>
    <w:link w:val="CommentSubject"/>
    <w:uiPriority w:val="99"/>
    <w:semiHidden/>
    <w:rsid w:val="000860F5"/>
    <w:rPr>
      <w:b/>
      <w:bCs/>
      <w:sz w:val="20"/>
      <w:szCs w:val="20"/>
    </w:rPr>
  </w:style>
  <w:style w:type="paragraph" w:styleId="BalloonText">
    <w:name w:val="Balloon Text"/>
    <w:basedOn w:val="Normal"/>
    <w:link w:val="BalloonTextChar"/>
    <w:uiPriority w:val="99"/>
    <w:semiHidden/>
    <w:unhideWhenUsed/>
    <w:rsid w:val="00086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0F5"/>
    <w:rPr>
      <w:rFonts w:ascii="Tahoma" w:hAnsi="Tahoma" w:cs="Tahoma"/>
      <w:sz w:val="16"/>
      <w:szCs w:val="16"/>
    </w:rPr>
  </w:style>
  <w:style w:type="character" w:styleId="Hyperlink">
    <w:name w:val="Hyperlink"/>
    <w:uiPriority w:val="99"/>
    <w:qFormat/>
    <w:rsid w:val="006F70AD"/>
    <w:rPr>
      <w:color w:val="0000FF"/>
      <w:u w:val="single"/>
    </w:rPr>
  </w:style>
  <w:style w:type="paragraph" w:styleId="ListParagraph">
    <w:name w:val="List Paragraph"/>
    <w:basedOn w:val="Normal"/>
    <w:uiPriority w:val="34"/>
    <w:qFormat/>
    <w:rsid w:val="009322E8"/>
    <w:pPr>
      <w:ind w:left="720"/>
      <w:contextualSpacing/>
    </w:pPr>
  </w:style>
  <w:style w:type="paragraph" w:styleId="FootnoteText">
    <w:name w:val="footnote text"/>
    <w:basedOn w:val="Normal"/>
    <w:link w:val="FootnoteTextChar"/>
    <w:uiPriority w:val="99"/>
    <w:semiHidden/>
    <w:unhideWhenUsed/>
    <w:rsid w:val="008E2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C40"/>
    <w:rPr>
      <w:sz w:val="20"/>
      <w:szCs w:val="20"/>
    </w:rPr>
  </w:style>
  <w:style w:type="character" w:styleId="FootnoteReference">
    <w:name w:val="footnote reference"/>
    <w:basedOn w:val="DefaultParagraphFont"/>
    <w:uiPriority w:val="99"/>
    <w:semiHidden/>
    <w:unhideWhenUsed/>
    <w:rsid w:val="008E2C40"/>
    <w:rPr>
      <w:vertAlign w:val="superscript"/>
    </w:rPr>
  </w:style>
  <w:style w:type="character" w:styleId="FollowedHyperlink">
    <w:name w:val="FollowedHyperlink"/>
    <w:basedOn w:val="DefaultParagraphFont"/>
    <w:uiPriority w:val="99"/>
    <w:semiHidden/>
    <w:unhideWhenUsed/>
    <w:rsid w:val="00550D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13AD"/>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unhideWhenUsed/>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E50"/>
  </w:style>
  <w:style w:type="paragraph" w:styleId="Footer">
    <w:name w:val="footer"/>
    <w:basedOn w:val="Normal"/>
    <w:link w:val="FooterChar"/>
    <w:uiPriority w:val="99"/>
    <w:unhideWhenUsed/>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E50"/>
  </w:style>
  <w:style w:type="character" w:styleId="CommentReference">
    <w:name w:val="annotation reference"/>
    <w:basedOn w:val="DefaultParagraphFont"/>
    <w:uiPriority w:val="99"/>
    <w:semiHidden/>
    <w:unhideWhenUsed/>
    <w:rsid w:val="000860F5"/>
    <w:rPr>
      <w:sz w:val="16"/>
      <w:szCs w:val="16"/>
    </w:rPr>
  </w:style>
  <w:style w:type="paragraph" w:styleId="CommentText">
    <w:name w:val="annotation text"/>
    <w:basedOn w:val="Normal"/>
    <w:link w:val="CommentTextChar"/>
    <w:uiPriority w:val="99"/>
    <w:semiHidden/>
    <w:unhideWhenUsed/>
    <w:rsid w:val="000860F5"/>
    <w:pPr>
      <w:spacing w:line="240" w:lineRule="auto"/>
    </w:pPr>
    <w:rPr>
      <w:sz w:val="20"/>
      <w:szCs w:val="20"/>
    </w:rPr>
  </w:style>
  <w:style w:type="character" w:customStyle="1" w:styleId="CommentTextChar">
    <w:name w:val="Comment Text Char"/>
    <w:basedOn w:val="DefaultParagraphFont"/>
    <w:link w:val="CommentText"/>
    <w:uiPriority w:val="99"/>
    <w:semiHidden/>
    <w:rsid w:val="000860F5"/>
    <w:rPr>
      <w:sz w:val="20"/>
      <w:szCs w:val="20"/>
    </w:rPr>
  </w:style>
  <w:style w:type="paragraph" w:styleId="CommentSubject">
    <w:name w:val="annotation subject"/>
    <w:basedOn w:val="CommentText"/>
    <w:next w:val="CommentText"/>
    <w:link w:val="CommentSubjectChar"/>
    <w:uiPriority w:val="99"/>
    <w:semiHidden/>
    <w:unhideWhenUsed/>
    <w:rsid w:val="000860F5"/>
    <w:rPr>
      <w:b/>
      <w:bCs/>
    </w:rPr>
  </w:style>
  <w:style w:type="character" w:customStyle="1" w:styleId="CommentSubjectChar">
    <w:name w:val="Comment Subject Char"/>
    <w:basedOn w:val="CommentTextChar"/>
    <w:link w:val="CommentSubject"/>
    <w:uiPriority w:val="99"/>
    <w:semiHidden/>
    <w:rsid w:val="000860F5"/>
    <w:rPr>
      <w:b/>
      <w:bCs/>
      <w:sz w:val="20"/>
      <w:szCs w:val="20"/>
    </w:rPr>
  </w:style>
  <w:style w:type="paragraph" w:styleId="BalloonText">
    <w:name w:val="Balloon Text"/>
    <w:basedOn w:val="Normal"/>
    <w:link w:val="BalloonTextChar"/>
    <w:uiPriority w:val="99"/>
    <w:semiHidden/>
    <w:unhideWhenUsed/>
    <w:rsid w:val="00086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0F5"/>
    <w:rPr>
      <w:rFonts w:ascii="Tahoma" w:hAnsi="Tahoma" w:cs="Tahoma"/>
      <w:sz w:val="16"/>
      <w:szCs w:val="16"/>
    </w:rPr>
  </w:style>
  <w:style w:type="character" w:styleId="Hyperlink">
    <w:name w:val="Hyperlink"/>
    <w:uiPriority w:val="99"/>
    <w:qFormat/>
    <w:rsid w:val="006F70AD"/>
    <w:rPr>
      <w:color w:val="0000FF"/>
      <w:u w:val="single"/>
    </w:rPr>
  </w:style>
  <w:style w:type="paragraph" w:styleId="ListParagraph">
    <w:name w:val="List Paragraph"/>
    <w:basedOn w:val="Normal"/>
    <w:uiPriority w:val="34"/>
    <w:qFormat/>
    <w:rsid w:val="009322E8"/>
    <w:pPr>
      <w:ind w:left="720"/>
      <w:contextualSpacing/>
    </w:pPr>
  </w:style>
  <w:style w:type="paragraph" w:styleId="FootnoteText">
    <w:name w:val="footnote text"/>
    <w:basedOn w:val="Normal"/>
    <w:link w:val="FootnoteTextChar"/>
    <w:uiPriority w:val="99"/>
    <w:semiHidden/>
    <w:unhideWhenUsed/>
    <w:rsid w:val="008E2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C40"/>
    <w:rPr>
      <w:sz w:val="20"/>
      <w:szCs w:val="20"/>
    </w:rPr>
  </w:style>
  <w:style w:type="character" w:styleId="FootnoteReference">
    <w:name w:val="footnote reference"/>
    <w:basedOn w:val="DefaultParagraphFont"/>
    <w:uiPriority w:val="99"/>
    <w:semiHidden/>
    <w:unhideWhenUsed/>
    <w:rsid w:val="008E2C40"/>
    <w:rPr>
      <w:vertAlign w:val="superscript"/>
    </w:rPr>
  </w:style>
  <w:style w:type="character" w:styleId="FollowedHyperlink">
    <w:name w:val="FollowedHyperlink"/>
    <w:basedOn w:val="DefaultParagraphFont"/>
    <w:uiPriority w:val="99"/>
    <w:semiHidden/>
    <w:unhideWhenUsed/>
    <w:rsid w:val="00550D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2152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168">
          <w:marLeft w:val="0"/>
          <w:marRight w:val="0"/>
          <w:marTop w:val="0"/>
          <w:marBottom w:val="0"/>
          <w:divBdr>
            <w:top w:val="none" w:sz="0" w:space="0" w:color="auto"/>
            <w:left w:val="none" w:sz="0" w:space="0" w:color="auto"/>
            <w:bottom w:val="none" w:sz="0" w:space="0" w:color="auto"/>
            <w:right w:val="none" w:sz="0" w:space="0" w:color="auto"/>
          </w:divBdr>
          <w:divsChild>
            <w:div w:id="1904022928">
              <w:marLeft w:val="0"/>
              <w:marRight w:val="0"/>
              <w:marTop w:val="0"/>
              <w:marBottom w:val="0"/>
              <w:divBdr>
                <w:top w:val="none" w:sz="0" w:space="0" w:color="auto"/>
                <w:left w:val="none" w:sz="0" w:space="0" w:color="auto"/>
                <w:bottom w:val="none" w:sz="0" w:space="0" w:color="auto"/>
                <w:right w:val="none" w:sz="0" w:space="0" w:color="auto"/>
              </w:divBdr>
              <w:divsChild>
                <w:div w:id="3339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0431">
          <w:marLeft w:val="0"/>
          <w:marRight w:val="0"/>
          <w:marTop w:val="0"/>
          <w:marBottom w:val="0"/>
          <w:divBdr>
            <w:top w:val="none" w:sz="0" w:space="0" w:color="auto"/>
            <w:left w:val="none" w:sz="0" w:space="0" w:color="auto"/>
            <w:bottom w:val="none" w:sz="0" w:space="0" w:color="auto"/>
            <w:right w:val="none" w:sz="0" w:space="0" w:color="auto"/>
          </w:divBdr>
          <w:divsChild>
            <w:div w:id="1813674005">
              <w:marLeft w:val="0"/>
              <w:marRight w:val="0"/>
              <w:marTop w:val="0"/>
              <w:marBottom w:val="0"/>
              <w:divBdr>
                <w:top w:val="none" w:sz="0" w:space="0" w:color="auto"/>
                <w:left w:val="none" w:sz="0" w:space="0" w:color="auto"/>
                <w:bottom w:val="none" w:sz="0" w:space="0" w:color="auto"/>
                <w:right w:val="none" w:sz="0" w:space="0" w:color="auto"/>
              </w:divBdr>
              <w:divsChild>
                <w:div w:id="2045323239">
                  <w:marLeft w:val="-225"/>
                  <w:marRight w:val="-225"/>
                  <w:marTop w:val="0"/>
                  <w:marBottom w:val="0"/>
                  <w:divBdr>
                    <w:top w:val="none" w:sz="0" w:space="0" w:color="auto"/>
                    <w:left w:val="none" w:sz="0" w:space="0" w:color="auto"/>
                    <w:bottom w:val="none" w:sz="0" w:space="0" w:color="auto"/>
                    <w:right w:val="none" w:sz="0" w:space="0" w:color="auto"/>
                  </w:divBdr>
                  <w:divsChild>
                    <w:div w:id="797916152">
                      <w:marLeft w:val="0"/>
                      <w:marRight w:val="0"/>
                      <w:marTop w:val="0"/>
                      <w:marBottom w:val="0"/>
                      <w:divBdr>
                        <w:top w:val="none" w:sz="0" w:space="0" w:color="auto"/>
                        <w:left w:val="none" w:sz="0" w:space="0" w:color="auto"/>
                        <w:bottom w:val="none" w:sz="0" w:space="0" w:color="auto"/>
                        <w:right w:val="none" w:sz="0" w:space="0" w:color="auto"/>
                      </w:divBdr>
                      <w:divsChild>
                        <w:div w:id="1706521263">
                          <w:marLeft w:val="-225"/>
                          <w:marRight w:val="-225"/>
                          <w:marTop w:val="0"/>
                          <w:marBottom w:val="225"/>
                          <w:divBdr>
                            <w:top w:val="none" w:sz="0" w:space="0" w:color="auto"/>
                            <w:left w:val="none" w:sz="0" w:space="0" w:color="auto"/>
                            <w:bottom w:val="none" w:sz="0" w:space="0" w:color="auto"/>
                            <w:right w:val="none" w:sz="0" w:space="0" w:color="auto"/>
                          </w:divBdr>
                          <w:divsChild>
                            <w:div w:id="1115442634">
                              <w:marLeft w:val="0"/>
                              <w:marRight w:val="0"/>
                              <w:marTop w:val="0"/>
                              <w:marBottom w:val="0"/>
                              <w:divBdr>
                                <w:top w:val="none" w:sz="0" w:space="0" w:color="auto"/>
                                <w:left w:val="none" w:sz="0" w:space="0" w:color="auto"/>
                                <w:bottom w:val="none" w:sz="0" w:space="0" w:color="auto"/>
                                <w:right w:val="none" w:sz="0" w:space="0" w:color="auto"/>
                              </w:divBdr>
                            </w:div>
                          </w:divsChild>
                        </w:div>
                        <w:div w:id="167451047">
                          <w:marLeft w:val="-225"/>
                          <w:marRight w:val="-225"/>
                          <w:marTop w:val="0"/>
                          <w:marBottom w:val="225"/>
                          <w:divBdr>
                            <w:top w:val="none" w:sz="0" w:space="0" w:color="auto"/>
                            <w:left w:val="none" w:sz="0" w:space="0" w:color="auto"/>
                            <w:bottom w:val="none" w:sz="0" w:space="0" w:color="auto"/>
                            <w:right w:val="none" w:sz="0" w:space="0" w:color="auto"/>
                          </w:divBdr>
                          <w:divsChild>
                            <w:div w:id="1351301785">
                              <w:marLeft w:val="0"/>
                              <w:marRight w:val="0"/>
                              <w:marTop w:val="0"/>
                              <w:marBottom w:val="0"/>
                              <w:divBdr>
                                <w:top w:val="none" w:sz="0" w:space="0" w:color="auto"/>
                                <w:left w:val="none" w:sz="0" w:space="0" w:color="auto"/>
                                <w:bottom w:val="none" w:sz="0" w:space="0" w:color="auto"/>
                                <w:right w:val="none" w:sz="0" w:space="0" w:color="auto"/>
                              </w:divBdr>
                            </w:div>
                          </w:divsChild>
                        </w:div>
                        <w:div w:id="514808853">
                          <w:marLeft w:val="-225"/>
                          <w:marRight w:val="-225"/>
                          <w:marTop w:val="0"/>
                          <w:marBottom w:val="225"/>
                          <w:divBdr>
                            <w:top w:val="none" w:sz="0" w:space="0" w:color="auto"/>
                            <w:left w:val="none" w:sz="0" w:space="0" w:color="auto"/>
                            <w:bottom w:val="none" w:sz="0" w:space="0" w:color="auto"/>
                            <w:right w:val="none" w:sz="0" w:space="0" w:color="auto"/>
                          </w:divBdr>
                          <w:divsChild>
                            <w:div w:id="9999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3293">
                      <w:marLeft w:val="0"/>
                      <w:marRight w:val="0"/>
                      <w:marTop w:val="0"/>
                      <w:marBottom w:val="0"/>
                      <w:divBdr>
                        <w:top w:val="none" w:sz="0" w:space="0" w:color="auto"/>
                        <w:left w:val="none" w:sz="0" w:space="0" w:color="auto"/>
                        <w:bottom w:val="none" w:sz="0" w:space="0" w:color="auto"/>
                        <w:right w:val="none" w:sz="0" w:space="0" w:color="auto"/>
                      </w:divBdr>
                      <w:divsChild>
                        <w:div w:id="278993987">
                          <w:marLeft w:val="-225"/>
                          <w:marRight w:val="-225"/>
                          <w:marTop w:val="0"/>
                          <w:marBottom w:val="225"/>
                          <w:divBdr>
                            <w:top w:val="none" w:sz="0" w:space="0" w:color="auto"/>
                            <w:left w:val="none" w:sz="0" w:space="0" w:color="auto"/>
                            <w:bottom w:val="none" w:sz="0" w:space="0" w:color="auto"/>
                            <w:right w:val="none" w:sz="0" w:space="0" w:color="auto"/>
                          </w:divBdr>
                          <w:divsChild>
                            <w:div w:id="10299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14084">
      <w:bodyDiv w:val="1"/>
      <w:marLeft w:val="0"/>
      <w:marRight w:val="0"/>
      <w:marTop w:val="0"/>
      <w:marBottom w:val="0"/>
      <w:divBdr>
        <w:top w:val="none" w:sz="0" w:space="0" w:color="auto"/>
        <w:left w:val="none" w:sz="0" w:space="0" w:color="auto"/>
        <w:bottom w:val="none" w:sz="0" w:space="0" w:color="auto"/>
        <w:right w:val="none" w:sz="0" w:space="0" w:color="auto"/>
      </w:divBdr>
    </w:div>
    <w:div w:id="1469787642">
      <w:bodyDiv w:val="1"/>
      <w:marLeft w:val="0"/>
      <w:marRight w:val="0"/>
      <w:marTop w:val="0"/>
      <w:marBottom w:val="0"/>
      <w:divBdr>
        <w:top w:val="none" w:sz="0" w:space="0" w:color="auto"/>
        <w:left w:val="none" w:sz="0" w:space="0" w:color="auto"/>
        <w:bottom w:val="none" w:sz="0" w:space="0" w:color="auto"/>
        <w:right w:val="none" w:sz="0" w:space="0" w:color="auto"/>
      </w:divBdr>
    </w:div>
    <w:div w:id="1597054199">
      <w:bodyDiv w:val="1"/>
      <w:marLeft w:val="0"/>
      <w:marRight w:val="0"/>
      <w:marTop w:val="0"/>
      <w:marBottom w:val="0"/>
      <w:divBdr>
        <w:top w:val="none" w:sz="0" w:space="0" w:color="auto"/>
        <w:left w:val="none" w:sz="0" w:space="0" w:color="auto"/>
        <w:bottom w:val="none" w:sz="0" w:space="0" w:color="auto"/>
        <w:right w:val="none" w:sz="0" w:space="0" w:color="auto"/>
      </w:divBdr>
      <w:divsChild>
        <w:div w:id="1715036716">
          <w:marLeft w:val="0"/>
          <w:marRight w:val="0"/>
          <w:marTop w:val="0"/>
          <w:marBottom w:val="0"/>
          <w:divBdr>
            <w:top w:val="none" w:sz="0" w:space="0" w:color="auto"/>
            <w:left w:val="none" w:sz="0" w:space="0" w:color="auto"/>
            <w:bottom w:val="none" w:sz="0" w:space="0" w:color="auto"/>
            <w:right w:val="none" w:sz="0" w:space="0" w:color="auto"/>
          </w:divBdr>
          <w:divsChild>
            <w:div w:id="169564239">
              <w:marLeft w:val="0"/>
              <w:marRight w:val="0"/>
              <w:marTop w:val="0"/>
              <w:marBottom w:val="0"/>
              <w:divBdr>
                <w:top w:val="none" w:sz="0" w:space="0" w:color="auto"/>
                <w:left w:val="none" w:sz="0" w:space="0" w:color="auto"/>
                <w:bottom w:val="none" w:sz="0" w:space="0" w:color="auto"/>
                <w:right w:val="none" w:sz="0" w:space="0" w:color="auto"/>
              </w:divBdr>
              <w:divsChild>
                <w:div w:id="1701124295">
                  <w:marLeft w:val="0"/>
                  <w:marRight w:val="0"/>
                  <w:marTop w:val="0"/>
                  <w:marBottom w:val="480"/>
                  <w:divBdr>
                    <w:top w:val="none" w:sz="0" w:space="0" w:color="auto"/>
                    <w:left w:val="none" w:sz="0" w:space="0" w:color="auto"/>
                    <w:bottom w:val="none" w:sz="0" w:space="0" w:color="auto"/>
                    <w:right w:val="none" w:sz="0" w:space="0" w:color="auto"/>
                  </w:divBdr>
                  <w:divsChild>
                    <w:div w:id="4995429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10101930">
      <w:bodyDiv w:val="1"/>
      <w:marLeft w:val="0"/>
      <w:marRight w:val="0"/>
      <w:marTop w:val="0"/>
      <w:marBottom w:val="0"/>
      <w:divBdr>
        <w:top w:val="none" w:sz="0" w:space="0" w:color="auto"/>
        <w:left w:val="none" w:sz="0" w:space="0" w:color="auto"/>
        <w:bottom w:val="none" w:sz="0" w:space="0" w:color="auto"/>
        <w:right w:val="none" w:sz="0" w:space="0" w:color="auto"/>
      </w:divBdr>
      <w:divsChild>
        <w:div w:id="1846556972">
          <w:marLeft w:val="0"/>
          <w:marRight w:val="0"/>
          <w:marTop w:val="0"/>
          <w:marBottom w:val="0"/>
          <w:divBdr>
            <w:top w:val="none" w:sz="0" w:space="0" w:color="auto"/>
            <w:left w:val="none" w:sz="0" w:space="0" w:color="auto"/>
            <w:bottom w:val="none" w:sz="0" w:space="0" w:color="auto"/>
            <w:right w:val="none" w:sz="0" w:space="0" w:color="auto"/>
          </w:divBdr>
          <w:divsChild>
            <w:div w:id="263273696">
              <w:marLeft w:val="0"/>
              <w:marRight w:val="0"/>
              <w:marTop w:val="0"/>
              <w:marBottom w:val="0"/>
              <w:divBdr>
                <w:top w:val="none" w:sz="0" w:space="0" w:color="auto"/>
                <w:left w:val="none" w:sz="0" w:space="0" w:color="auto"/>
                <w:bottom w:val="none" w:sz="0" w:space="0" w:color="auto"/>
                <w:right w:val="none" w:sz="0" w:space="0" w:color="auto"/>
              </w:divBdr>
              <w:divsChild>
                <w:div w:id="1840191814">
                  <w:marLeft w:val="0"/>
                  <w:marRight w:val="0"/>
                  <w:marTop w:val="0"/>
                  <w:marBottom w:val="480"/>
                  <w:divBdr>
                    <w:top w:val="none" w:sz="0" w:space="0" w:color="auto"/>
                    <w:left w:val="none" w:sz="0" w:space="0" w:color="auto"/>
                    <w:bottom w:val="none" w:sz="0" w:space="0" w:color="auto"/>
                    <w:right w:val="none" w:sz="0" w:space="0" w:color="auto"/>
                  </w:divBdr>
                  <w:divsChild>
                    <w:div w:id="8135665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mation.Governance@bthft.nhs.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taprotectionofficer@bthft.nhs.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544E0-2127-4ACA-AB47-2D45C636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4DA29162</Template>
  <TotalTime>1</TotalTime>
  <Pages>4</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debbie.adey</dc:creator>
  <cp:lastModifiedBy>Daniel Webber</cp:lastModifiedBy>
  <cp:revision>2</cp:revision>
  <cp:lastPrinted>2018-05-04T08:52:00Z</cp:lastPrinted>
  <dcterms:created xsi:type="dcterms:W3CDTF">2018-05-24T15:36:00Z</dcterms:created>
  <dcterms:modified xsi:type="dcterms:W3CDTF">2018-05-24T15:36:00Z</dcterms:modified>
</cp:coreProperties>
</file>